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240DC8">
      <w:pPr>
        <w:keepNext w:val="0"/>
        <w:keepLines w:val="0"/>
        <w:pageBreakBefore w:val="0"/>
        <w:widowControl w:val="0"/>
        <w:kinsoku/>
        <w:wordWrap/>
        <w:overflowPunct/>
        <w:topLinePunct w:val="0"/>
        <w:autoSpaceDE/>
        <w:autoSpaceDN/>
        <w:bidi w:val="0"/>
        <w:adjustRightInd w:val="0"/>
        <w:snapToGrid w:val="0"/>
        <w:spacing w:line="600" w:lineRule="exact"/>
        <w:ind w:firstLine="0" w:firstLineChars="0"/>
        <w:jc w:val="center"/>
        <w:textAlignment w:val="auto"/>
        <w:rPr>
          <w:rFonts w:hint="eastAsia" w:ascii="Times New Roman" w:hAnsi="Times New Roman" w:eastAsia="仿宋_GB2312" w:cs="黑体"/>
          <w:b/>
          <w:bCs/>
          <w:snapToGrid/>
          <w:color w:val="000000"/>
          <w:kern w:val="2"/>
          <w:sz w:val="44"/>
          <w:szCs w:val="44"/>
          <w:highlight w:val="none"/>
          <w:lang w:eastAsia="zh-CN"/>
        </w:rPr>
      </w:pPr>
    </w:p>
    <w:p w14:paraId="571AD710">
      <w:pPr>
        <w:pStyle w:val="2"/>
        <w:rPr>
          <w:rFonts w:hint="eastAsia"/>
          <w:lang w:eastAsia="zh-CN"/>
        </w:rPr>
      </w:pPr>
    </w:p>
    <w:p w14:paraId="68E7A2A4">
      <w:pPr>
        <w:keepNext w:val="0"/>
        <w:keepLines w:val="0"/>
        <w:pageBreakBefore w:val="0"/>
        <w:widowControl w:val="0"/>
        <w:kinsoku/>
        <w:wordWrap/>
        <w:overflowPunct/>
        <w:topLinePunct w:val="0"/>
        <w:autoSpaceDE/>
        <w:autoSpaceDN/>
        <w:bidi w:val="0"/>
        <w:adjustRightInd w:val="0"/>
        <w:snapToGrid w:val="0"/>
        <w:spacing w:line="600" w:lineRule="exact"/>
        <w:ind w:firstLine="0" w:firstLineChars="0"/>
        <w:jc w:val="both"/>
        <w:textAlignment w:val="auto"/>
        <w:rPr>
          <w:rFonts w:hint="eastAsia" w:ascii="Times New Roman" w:hAnsi="Times New Roman" w:eastAsia="仿宋_GB2312" w:cs="黑体"/>
          <w:b/>
          <w:bCs/>
          <w:snapToGrid/>
          <w:color w:val="000000"/>
          <w:kern w:val="2"/>
          <w:sz w:val="44"/>
          <w:szCs w:val="44"/>
          <w:highlight w:val="none"/>
          <w:lang w:eastAsia="zh-CN"/>
        </w:rPr>
      </w:pPr>
    </w:p>
    <w:p w14:paraId="1BF2A12C">
      <w:pPr>
        <w:keepNext w:val="0"/>
        <w:keepLines w:val="0"/>
        <w:pageBreakBefore w:val="0"/>
        <w:widowControl w:val="0"/>
        <w:kinsoku/>
        <w:wordWrap/>
        <w:overflowPunct/>
        <w:topLinePunct w:val="0"/>
        <w:autoSpaceDE/>
        <w:autoSpaceDN/>
        <w:bidi w:val="0"/>
        <w:adjustRightInd w:val="0"/>
        <w:snapToGrid w:val="0"/>
        <w:spacing w:line="600" w:lineRule="exact"/>
        <w:ind w:firstLine="0" w:firstLineChars="0"/>
        <w:jc w:val="both"/>
        <w:textAlignment w:val="auto"/>
        <w:rPr>
          <w:rFonts w:hint="eastAsia" w:ascii="Times New Roman" w:hAnsi="Times New Roman" w:eastAsia="仿宋_GB2312" w:cs="黑体"/>
          <w:b/>
          <w:bCs/>
          <w:snapToGrid/>
          <w:color w:val="000000"/>
          <w:kern w:val="2"/>
          <w:sz w:val="44"/>
          <w:szCs w:val="44"/>
          <w:highlight w:val="none"/>
          <w:lang w:eastAsia="zh-CN"/>
        </w:rPr>
      </w:pPr>
    </w:p>
    <w:p w14:paraId="562F5DFE">
      <w:pPr>
        <w:keepNext w:val="0"/>
        <w:keepLines w:val="0"/>
        <w:pageBreakBefore w:val="0"/>
        <w:widowControl w:val="0"/>
        <w:kinsoku/>
        <w:wordWrap/>
        <w:overflowPunct/>
        <w:topLinePunct w:val="0"/>
        <w:autoSpaceDE/>
        <w:autoSpaceDN/>
        <w:bidi w:val="0"/>
        <w:adjustRightInd w:val="0"/>
        <w:snapToGrid w:val="0"/>
        <w:spacing w:line="600" w:lineRule="exact"/>
        <w:ind w:firstLine="0" w:firstLineChars="0"/>
        <w:jc w:val="both"/>
        <w:textAlignment w:val="auto"/>
        <w:rPr>
          <w:rFonts w:hint="eastAsia" w:ascii="Times New Roman" w:hAnsi="Times New Roman" w:eastAsia="仿宋_GB2312" w:cs="黑体"/>
          <w:b/>
          <w:bCs/>
          <w:snapToGrid/>
          <w:color w:val="000000"/>
          <w:kern w:val="2"/>
          <w:sz w:val="44"/>
          <w:szCs w:val="44"/>
          <w:highlight w:val="none"/>
          <w:lang w:eastAsia="zh-CN"/>
        </w:rPr>
      </w:pPr>
    </w:p>
    <w:p w14:paraId="0BFEE28F">
      <w:pPr>
        <w:keepNext w:val="0"/>
        <w:keepLines w:val="0"/>
        <w:pageBreakBefore w:val="0"/>
        <w:widowControl w:val="0"/>
        <w:kinsoku/>
        <w:wordWrap/>
        <w:overflowPunct/>
        <w:topLinePunct w:val="0"/>
        <w:autoSpaceDE/>
        <w:autoSpaceDN/>
        <w:bidi w:val="0"/>
        <w:adjustRightInd w:val="0"/>
        <w:snapToGrid w:val="0"/>
        <w:spacing w:line="600" w:lineRule="exact"/>
        <w:ind w:firstLine="0" w:firstLineChars="0"/>
        <w:jc w:val="both"/>
        <w:textAlignment w:val="auto"/>
        <w:rPr>
          <w:rFonts w:hint="eastAsia" w:ascii="Times New Roman" w:hAnsi="Times New Roman" w:eastAsia="仿宋_GB2312" w:cs="黑体"/>
          <w:b/>
          <w:bCs/>
          <w:snapToGrid/>
          <w:color w:val="000000"/>
          <w:kern w:val="2"/>
          <w:sz w:val="44"/>
          <w:szCs w:val="44"/>
          <w:highlight w:val="none"/>
          <w:lang w:eastAsia="zh-CN"/>
        </w:rPr>
      </w:pPr>
    </w:p>
    <w:p w14:paraId="5D2D0A1C">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Theme="majorEastAsia" w:hAnsiTheme="majorEastAsia" w:eastAsiaTheme="majorEastAsia" w:cstheme="majorEastAsia"/>
          <w:b/>
          <w:bCs/>
          <w:snapToGrid/>
          <w:color w:val="000000"/>
          <w:kern w:val="2"/>
          <w:sz w:val="44"/>
          <w:szCs w:val="44"/>
          <w:highlight w:val="none"/>
          <w:lang w:eastAsia="zh-CN"/>
        </w:rPr>
      </w:pPr>
      <w:r>
        <w:rPr>
          <w:rFonts w:hint="eastAsia" w:asciiTheme="majorEastAsia" w:hAnsiTheme="majorEastAsia" w:eastAsiaTheme="majorEastAsia" w:cstheme="majorEastAsia"/>
          <w:b/>
          <w:bCs/>
          <w:snapToGrid/>
          <w:color w:val="000000"/>
          <w:kern w:val="2"/>
          <w:sz w:val="44"/>
          <w:szCs w:val="44"/>
          <w:highlight w:val="none"/>
          <w:lang w:eastAsia="zh-CN"/>
        </w:rPr>
        <w:t>区域企业数智化产</w:t>
      </w:r>
      <w:bookmarkStart w:id="0" w:name="_GoBack"/>
      <w:bookmarkEnd w:id="0"/>
      <w:r>
        <w:rPr>
          <w:rFonts w:hint="eastAsia" w:asciiTheme="majorEastAsia" w:hAnsiTheme="majorEastAsia" w:eastAsiaTheme="majorEastAsia" w:cstheme="majorEastAsia"/>
          <w:b/>
          <w:bCs/>
          <w:snapToGrid/>
          <w:color w:val="000000"/>
          <w:kern w:val="2"/>
          <w:sz w:val="44"/>
          <w:szCs w:val="44"/>
          <w:highlight w:val="none"/>
          <w:lang w:eastAsia="zh-CN"/>
        </w:rPr>
        <w:t>教融合实践中心</w:t>
      </w:r>
    </w:p>
    <w:p w14:paraId="4E41D0DB">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Theme="majorEastAsia" w:hAnsiTheme="majorEastAsia" w:eastAsiaTheme="majorEastAsia" w:cstheme="majorEastAsia"/>
          <w:b/>
          <w:bCs/>
          <w:snapToGrid/>
          <w:color w:val="000000"/>
          <w:kern w:val="2"/>
          <w:sz w:val="44"/>
          <w:szCs w:val="44"/>
          <w:highlight w:val="none"/>
          <w:lang w:eastAsia="zh-CN"/>
        </w:rPr>
      </w:pPr>
      <w:r>
        <w:rPr>
          <w:rFonts w:hint="eastAsia" w:asciiTheme="majorEastAsia" w:hAnsiTheme="majorEastAsia" w:eastAsiaTheme="majorEastAsia" w:cstheme="majorEastAsia"/>
          <w:b/>
          <w:bCs/>
          <w:snapToGrid/>
          <w:color w:val="000000"/>
          <w:kern w:val="2"/>
          <w:sz w:val="44"/>
          <w:szCs w:val="44"/>
          <w:highlight w:val="none"/>
          <w:lang w:eastAsia="zh-CN"/>
        </w:rPr>
        <w:t>建设指南（试行）</w:t>
      </w:r>
    </w:p>
    <w:p w14:paraId="4F93ADD5">
      <w:pPr>
        <w:keepNext w:val="0"/>
        <w:keepLines w:val="0"/>
        <w:pageBreakBefore w:val="0"/>
        <w:widowControl w:val="0"/>
        <w:kinsoku/>
        <w:wordWrap/>
        <w:overflowPunct/>
        <w:topLinePunct w:val="0"/>
        <w:autoSpaceDE/>
        <w:autoSpaceDN/>
        <w:bidi w:val="0"/>
        <w:adjustRightInd/>
        <w:snapToGrid/>
        <w:spacing w:line="360" w:lineRule="auto"/>
        <w:ind w:firstLine="880" w:firstLineChars="200"/>
        <w:textAlignment w:val="auto"/>
        <w:rPr>
          <w:rFonts w:hint="eastAsia" w:ascii="方正小标宋简体" w:hAnsi="方正小标宋简体" w:eastAsia="方正小标宋简体" w:cs="方正小标宋简体"/>
          <w:b w:val="0"/>
          <w:bCs w:val="0"/>
          <w:kern w:val="2"/>
          <w:sz w:val="44"/>
          <w:szCs w:val="44"/>
          <w:highlight w:val="none"/>
          <w:lang w:val="en-US" w:eastAsia="zh-CN" w:bidi="ar-SA"/>
        </w:rPr>
        <w:sectPr>
          <w:pgSz w:w="11906" w:h="16838"/>
          <w:pgMar w:top="2098" w:right="1474" w:bottom="1984" w:left="1587" w:header="851" w:footer="992" w:gutter="0"/>
          <w:pgNumType w:fmt="decimal"/>
          <w:cols w:space="425" w:num="1"/>
          <w:docGrid w:type="lines" w:linePitch="312" w:charSpace="0"/>
        </w:sectPr>
      </w:pPr>
    </w:p>
    <w:p w14:paraId="08D4981B">
      <w:pPr>
        <w:keepNext w:val="0"/>
        <w:keepLines w:val="0"/>
        <w:pageBreakBefore w:val="0"/>
        <w:widowControl w:val="0"/>
        <w:kinsoku/>
        <w:wordWrap/>
        <w:overflowPunct/>
        <w:topLinePunct w:val="0"/>
        <w:autoSpaceDE/>
        <w:autoSpaceDN/>
        <w:bidi w:val="0"/>
        <w:adjustRightInd w:val="0"/>
        <w:snapToGrid/>
        <w:spacing w:line="600" w:lineRule="exact"/>
        <w:ind w:firstLine="640" w:firstLineChars="200"/>
        <w:textAlignment w:val="auto"/>
        <w:rPr>
          <w:rFonts w:hint="eastAsia" w:ascii="Times New Roman" w:hAnsi="Times New Roman" w:eastAsia="仿宋_GB2312" w:cs="仿宋_GB2312"/>
          <w:kern w:val="2"/>
          <w:sz w:val="32"/>
          <w:szCs w:val="32"/>
          <w:highlight w:val="none"/>
          <w:lang w:val="en-US" w:eastAsia="zh-CN" w:bidi="ar-SA"/>
        </w:rPr>
      </w:pPr>
      <w:r>
        <w:rPr>
          <w:rFonts w:hint="eastAsia" w:ascii="Times New Roman" w:hAnsi="Times New Roman" w:eastAsia="仿宋_GB2312" w:cs="仿宋_GB2312"/>
          <w:kern w:val="2"/>
          <w:sz w:val="32"/>
          <w:szCs w:val="32"/>
          <w:highlight w:val="none"/>
          <w:lang w:val="en-US" w:eastAsia="zh-CN" w:bidi="ar-SA"/>
        </w:rPr>
        <w:t>民营经济是推进中国式现代化的生力军，是高质量发展的重要基础，是推动我国全面建成社会主义现代化强国、实现第二个百年奋斗目标的重要力量。在全球第四次产业革命浪潮下，数智技术作为新质生产力的核心引擎，正以前所未有的速度重塑经济格局，数智产业化和产业数智化成为引领新一轮产业变革的核心力量。民营企业作为我国经济重要组成部分，数智化转型已成为提升产业链、供应链韧性，推动区域经济增长的关键手段。在此过程中，对熟悉民营企业特质和产业链特征，具备高阶数智化思维的复合型人才需求量大，迫切需要政行企校各方在产业人才培养领域进行深度合作。</w:t>
      </w:r>
    </w:p>
    <w:p w14:paraId="581ACFE9">
      <w:pPr>
        <w:pStyle w:val="3"/>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黑体" w:hAnsi="黑体" w:eastAsia="黑体" w:cs="黑体"/>
          <w:b w:val="0"/>
          <w:bCs/>
          <w:sz w:val="32"/>
          <w:szCs w:val="32"/>
          <w:highlight w:val="none"/>
          <w:lang w:val="en-US" w:eastAsia="zh-CN"/>
        </w:rPr>
      </w:pPr>
      <w:r>
        <w:rPr>
          <w:rFonts w:hint="eastAsia" w:ascii="黑体" w:hAnsi="黑体" w:eastAsia="黑体" w:cs="黑体"/>
          <w:b w:val="0"/>
          <w:bCs/>
          <w:kern w:val="44"/>
          <w:sz w:val="32"/>
          <w:szCs w:val="32"/>
          <w:lang w:val="en-US" w:eastAsia="zh-CN" w:bidi="ar-SA"/>
        </w:rPr>
        <w:t>一、</w:t>
      </w:r>
      <w:r>
        <w:rPr>
          <w:rFonts w:hint="eastAsia" w:ascii="黑体" w:hAnsi="黑体" w:eastAsia="黑体" w:cs="黑体"/>
          <w:b w:val="0"/>
          <w:bCs/>
          <w:sz w:val="32"/>
          <w:szCs w:val="32"/>
          <w:highlight w:val="none"/>
          <w:lang w:val="en-US" w:eastAsia="zh-CN"/>
        </w:rPr>
        <w:t>建设目标</w:t>
      </w:r>
    </w:p>
    <w:p w14:paraId="29E9E930">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Times New Roman" w:hAnsi="Times New Roman" w:eastAsia="仿宋_GB2312" w:cs="仿宋_GB2312"/>
          <w:kern w:val="2"/>
          <w:sz w:val="32"/>
          <w:szCs w:val="32"/>
          <w:highlight w:val="none"/>
          <w:lang w:val="en-US" w:eastAsia="zh-CN" w:bidi="ar-SA"/>
        </w:rPr>
      </w:pPr>
      <w:r>
        <w:rPr>
          <w:rFonts w:hint="eastAsia" w:ascii="Times New Roman" w:hAnsi="Times New Roman" w:eastAsia="仿宋_GB2312" w:cs="仿宋_GB2312"/>
          <w:sz w:val="32"/>
          <w:szCs w:val="32"/>
          <w:highlight w:val="none"/>
          <w:lang w:val="en-US" w:eastAsia="zh-CN"/>
        </w:rPr>
        <w:t>聚焦民营经济高质量发展，</w:t>
      </w:r>
      <w:r>
        <w:rPr>
          <w:rFonts w:hint="eastAsia" w:ascii="Times New Roman" w:hAnsi="Times New Roman" w:eastAsia="仿宋_GB2312" w:cs="仿宋_GB2312"/>
          <w:kern w:val="2"/>
          <w:sz w:val="32"/>
          <w:szCs w:val="32"/>
          <w:highlight w:val="none"/>
          <w:lang w:val="en-US" w:eastAsia="zh-CN" w:bidi="ar-SA"/>
        </w:rPr>
        <w:t>以区域企业数智化产教融合实践中心（以下简称“实践中心”）为载体构建“产教发展共同体”，着力服务院校数智化人才培养和民营企业数智化转型。</w:t>
      </w:r>
    </w:p>
    <w:p w14:paraId="0632BC2C">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Times New Roman" w:hAnsi="Times New Roman" w:eastAsia="仿宋_GB2312" w:cs="仿宋_GB2312"/>
          <w:kern w:val="2"/>
          <w:sz w:val="32"/>
          <w:szCs w:val="32"/>
          <w:highlight w:val="none"/>
          <w:lang w:val="en-US" w:eastAsia="zh-CN" w:bidi="ar-SA"/>
        </w:rPr>
      </w:pPr>
      <w:r>
        <w:rPr>
          <w:rFonts w:hint="eastAsia" w:ascii="Times New Roman" w:hAnsi="Times New Roman" w:eastAsia="仿宋_GB2312" w:cs="仿宋_GB2312"/>
          <w:kern w:val="2"/>
          <w:sz w:val="32"/>
          <w:szCs w:val="32"/>
          <w:highlight w:val="none"/>
          <w:lang w:val="en-US" w:eastAsia="zh-CN" w:bidi="ar-SA"/>
        </w:rPr>
        <w:t>实践中心着力打造融人才培养、科学研究、技术创新、成果转化、企业服务、学生就业等功能于一体的示范性人才培养平台，培育若干解决民营企业数智化转型痛点的原创性成果，建设若干服务数智化人才培养的数字化资源，形成若干具有代表性的产教融合、科教融汇典型案例，推进教育科技人才体制机制一体改革，打造区域服务民营企业高质量发展的产学研高地。</w:t>
      </w:r>
    </w:p>
    <w:p w14:paraId="629AC3E8">
      <w:pPr>
        <w:pStyle w:val="3"/>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黑体" w:hAnsi="黑体" w:eastAsia="黑体" w:cs="黑体"/>
          <w:b w:val="0"/>
          <w:bCs/>
          <w:kern w:val="44"/>
          <w:sz w:val="32"/>
          <w:szCs w:val="32"/>
          <w:lang w:val="en-US" w:eastAsia="zh-CN" w:bidi="ar-SA"/>
        </w:rPr>
      </w:pPr>
      <w:r>
        <w:rPr>
          <w:rFonts w:hint="eastAsia" w:ascii="黑体" w:hAnsi="黑体" w:eastAsia="黑体" w:cs="黑体"/>
          <w:b w:val="0"/>
          <w:bCs/>
          <w:kern w:val="44"/>
          <w:sz w:val="32"/>
          <w:szCs w:val="32"/>
          <w:lang w:val="en-US" w:eastAsia="zh-CN" w:bidi="ar-SA"/>
        </w:rPr>
        <w:t>二、建设原则</w:t>
      </w:r>
    </w:p>
    <w:p w14:paraId="4C887467">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Times New Roman" w:hAnsi="Times New Roman" w:eastAsia="仿宋_GB2312" w:cs="仿宋_GB2312"/>
          <w:b w:val="0"/>
          <w:bCs/>
          <w:sz w:val="32"/>
          <w:szCs w:val="32"/>
          <w:highlight w:val="none"/>
        </w:rPr>
        <w:t>实践中心以“四个坚持”为原则，以产业需求为导向，以产教融合、科教融汇为核心，以创新驱动、技术支撑为牵引，以开放共享为路径，努力构建符合区域经济发展需求的产教融合生态体系。</w:t>
      </w:r>
    </w:p>
    <w:p w14:paraId="66E37B1C">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kern w:val="2"/>
          <w:sz w:val="32"/>
          <w:szCs w:val="32"/>
          <w:lang w:val="en-US" w:eastAsia="zh-CN" w:bidi="ar-SA"/>
        </w:rPr>
        <w:t>（一）</w:t>
      </w:r>
      <w:r>
        <w:rPr>
          <w:rFonts w:hint="eastAsia" w:ascii="楷体" w:hAnsi="楷体" w:eastAsia="楷体" w:cs="楷体"/>
          <w:b w:val="0"/>
          <w:bCs/>
          <w:sz w:val="32"/>
          <w:szCs w:val="32"/>
          <w:highlight w:val="none"/>
          <w:lang w:val="en-US" w:eastAsia="zh-CN"/>
        </w:rPr>
        <w:t>坚持需求导向，服务产业发展</w:t>
      </w:r>
    </w:p>
    <w:p w14:paraId="6A71B109">
      <w:pPr>
        <w:pageBreakBefore w:val="0"/>
        <w:widowControl w:val="0"/>
        <w:kinsoku/>
        <w:wordWrap/>
        <w:overflowPunct/>
        <w:topLinePunct w:val="0"/>
        <w:autoSpaceDE/>
        <w:autoSpaceDN/>
        <w:bidi w:val="0"/>
        <w:spacing w:line="60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立足地区经济和社会发展的全局，对接重点产业和战略新兴产业，围绕区域企业数智化转型的实际需求，分析行业发展趋势和新质岗位能力画像，确保人才培养、技术研发与咨询服务等工作紧密贴合市场需求，通过提供高质量的数智化人才培养、技术服务和创新支持，支撑区域经济高质量发展。</w:t>
      </w:r>
    </w:p>
    <w:p w14:paraId="0FE2150C">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kern w:val="2"/>
          <w:sz w:val="32"/>
          <w:szCs w:val="32"/>
          <w:lang w:val="en-US" w:eastAsia="zh-CN" w:bidi="ar-SA"/>
        </w:rPr>
        <w:t>（二）</w:t>
      </w:r>
      <w:r>
        <w:rPr>
          <w:rFonts w:hint="eastAsia" w:ascii="楷体" w:hAnsi="楷体" w:eastAsia="楷体" w:cs="楷体"/>
          <w:b w:val="0"/>
          <w:bCs/>
          <w:sz w:val="32"/>
          <w:szCs w:val="32"/>
          <w:highlight w:val="none"/>
          <w:lang w:val="en-US" w:eastAsia="zh-CN"/>
        </w:rPr>
        <w:t>坚持产教融合，共建人才体系</w:t>
      </w:r>
    </w:p>
    <w:p w14:paraId="13360B66">
      <w:pPr>
        <w:pageBreakBefore w:val="0"/>
        <w:widowControl w:val="0"/>
        <w:kinsoku/>
        <w:wordWrap/>
        <w:overflowPunct/>
        <w:topLinePunct w:val="0"/>
        <w:autoSpaceDE/>
        <w:autoSpaceDN/>
        <w:bidi w:val="0"/>
        <w:spacing w:line="60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深化校企合作和产教融合，形成优势互补、资源共享的协同育人新模式。共同制定人才培养方案，将企业真实项目和技术案例引入教学，提升师生专业能力与实践水平。同时，加强实践教学基地建设，打造集教学、科研、生产、服务于一体的平台，推动产学研用一体化。通过联合研发、技术攻关、项目合作等方式，促进教育链、人才链与产业链、创新链有机衔接，为区域经济社会发展提供数智化人才体系支撑。</w:t>
      </w:r>
    </w:p>
    <w:p w14:paraId="46B297BD">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kern w:val="2"/>
          <w:sz w:val="32"/>
          <w:szCs w:val="32"/>
          <w:lang w:val="en-US" w:eastAsia="zh-CN" w:bidi="ar-SA"/>
        </w:rPr>
        <w:t>（三）</w:t>
      </w:r>
      <w:r>
        <w:rPr>
          <w:rFonts w:hint="eastAsia" w:ascii="楷体" w:hAnsi="楷体" w:eastAsia="楷体" w:cs="楷体"/>
          <w:b w:val="0"/>
          <w:bCs/>
          <w:sz w:val="32"/>
          <w:szCs w:val="32"/>
          <w:highlight w:val="none"/>
          <w:lang w:val="en-US" w:eastAsia="zh-CN"/>
        </w:rPr>
        <w:t>坚持创新驱动，强化技术支撑</w:t>
      </w:r>
    </w:p>
    <w:p w14:paraId="76DDA3E1">
      <w:pPr>
        <w:pageBreakBefore w:val="0"/>
        <w:widowControl w:val="0"/>
        <w:kinsoku/>
        <w:wordWrap/>
        <w:overflowPunct/>
        <w:topLinePunct w:val="0"/>
        <w:autoSpaceDE/>
        <w:autoSpaceDN/>
        <w:bidi w:val="0"/>
        <w:spacing w:line="60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聚焦数智化领域的前沿技术和应用趋势，支持</w:t>
      </w:r>
      <w:r>
        <w:rPr>
          <w:rFonts w:hint="eastAsia" w:ascii="Times New Roman" w:hAnsi="Times New Roman" w:eastAsia="仿宋_GB2312" w:cs="仿宋_GB2312"/>
          <w:sz w:val="32"/>
          <w:szCs w:val="32"/>
          <w:highlight w:val="none"/>
          <w:lang w:eastAsia="zh-CN"/>
        </w:rPr>
        <w:t>院校</w:t>
      </w:r>
      <w:r>
        <w:rPr>
          <w:rFonts w:hint="eastAsia" w:ascii="Times New Roman" w:hAnsi="Times New Roman" w:eastAsia="仿宋_GB2312" w:cs="仿宋_GB2312"/>
          <w:sz w:val="32"/>
          <w:szCs w:val="32"/>
          <w:highlight w:val="none"/>
        </w:rPr>
        <w:t>和企业联合开展技术研发和创新活动，并通过建立完善的技术转化机制，利用AI+技术，促进教学改革与技术创新融合，推动新技术、新工艺、新标准在实践中心的落地应用并转化为现实生产力，构建高效、开放且持续创新的数智化技术生态系统，助力企业技术革新和产业升级。</w:t>
      </w:r>
    </w:p>
    <w:p w14:paraId="74C9B728">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kern w:val="2"/>
          <w:sz w:val="32"/>
          <w:szCs w:val="32"/>
          <w:lang w:val="en-US" w:eastAsia="zh-CN" w:bidi="ar-SA"/>
        </w:rPr>
        <w:t>（四）</w:t>
      </w:r>
      <w:r>
        <w:rPr>
          <w:rFonts w:hint="eastAsia" w:ascii="楷体" w:hAnsi="楷体" w:eastAsia="楷体" w:cs="楷体"/>
          <w:b w:val="0"/>
          <w:bCs/>
          <w:sz w:val="32"/>
          <w:szCs w:val="32"/>
          <w:highlight w:val="none"/>
          <w:lang w:val="en-US" w:eastAsia="zh-CN"/>
        </w:rPr>
        <w:t>坚持开放共享，打造合作生态</w:t>
      </w:r>
    </w:p>
    <w:p w14:paraId="5661981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仿宋_GB2312"/>
          <w:sz w:val="32"/>
          <w:szCs w:val="32"/>
          <w:highlight w:val="none"/>
          <w:lang w:eastAsia="zh-CN"/>
        </w:rPr>
      </w:pPr>
      <w:r>
        <w:rPr>
          <w:rFonts w:hint="eastAsia" w:ascii="Times New Roman" w:hAnsi="Times New Roman" w:eastAsia="仿宋_GB2312" w:cs="仿宋_GB2312"/>
          <w:sz w:val="32"/>
          <w:szCs w:val="32"/>
          <w:highlight w:val="none"/>
        </w:rPr>
        <w:t>整合社会力量，鼓励政行企校研等多元主体参与建设，汇聚创新要素和优势资源，探索多样化建设运行模式，构建贴近新兴产业、契合行业标准、突破专业界限、产学研深度融合的应用型人才培养共同体，促进高校、工商联、商会</w:t>
      </w:r>
      <w:r>
        <w:rPr>
          <w:rFonts w:hint="eastAsia" w:ascii="Times New Roman" w:hAnsi="Times New Roman" w:eastAsia="仿宋_GB2312" w:cs="仿宋_GB2312"/>
          <w:sz w:val="32"/>
          <w:szCs w:val="32"/>
          <w:highlight w:val="none"/>
          <w:lang w:eastAsia="zh-CN"/>
        </w:rPr>
        <w:t>、</w:t>
      </w:r>
      <w:r>
        <w:rPr>
          <w:rFonts w:hint="eastAsia" w:ascii="Times New Roman" w:hAnsi="Times New Roman" w:eastAsia="仿宋_GB2312" w:cs="仿宋_GB2312"/>
          <w:sz w:val="32"/>
          <w:szCs w:val="32"/>
          <w:highlight w:val="none"/>
        </w:rPr>
        <w:t>行业</w:t>
      </w:r>
      <w:r>
        <w:rPr>
          <w:rFonts w:hint="eastAsia" w:ascii="Times New Roman" w:hAnsi="Times New Roman" w:eastAsia="仿宋_GB2312" w:cs="仿宋_GB2312"/>
          <w:sz w:val="32"/>
          <w:szCs w:val="32"/>
          <w:highlight w:val="none"/>
          <w:lang w:eastAsia="zh-CN"/>
        </w:rPr>
        <w:t>委员会</w:t>
      </w:r>
      <w:r>
        <w:rPr>
          <w:rFonts w:hint="eastAsia" w:ascii="Times New Roman" w:hAnsi="Times New Roman" w:eastAsia="仿宋_GB2312" w:cs="仿宋_GB2312"/>
          <w:sz w:val="32"/>
          <w:szCs w:val="32"/>
          <w:highlight w:val="none"/>
        </w:rPr>
        <w:t>、企业及科研机构之间的资源共享和合作交流，推动产教融合成果的开放共享，不断提升实践中心的服务能力和社会影响力。</w:t>
      </w:r>
    </w:p>
    <w:p w14:paraId="6F45DEE0">
      <w:pPr>
        <w:pStyle w:val="3"/>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黑体" w:hAnsi="黑体" w:eastAsia="黑体" w:cs="黑体"/>
          <w:b w:val="0"/>
          <w:bCs/>
          <w:kern w:val="44"/>
          <w:sz w:val="32"/>
          <w:szCs w:val="32"/>
          <w:lang w:val="en-US" w:eastAsia="zh-CN" w:bidi="ar-SA"/>
        </w:rPr>
      </w:pPr>
      <w:r>
        <w:rPr>
          <w:rFonts w:hint="eastAsia" w:ascii="黑体" w:hAnsi="黑体" w:eastAsia="黑体" w:cs="黑体"/>
          <w:b w:val="0"/>
          <w:bCs/>
          <w:kern w:val="44"/>
          <w:sz w:val="32"/>
          <w:szCs w:val="32"/>
          <w:lang w:val="en-US" w:eastAsia="zh-CN" w:bidi="ar-SA"/>
        </w:rPr>
        <w:t>三、建设内容</w:t>
      </w:r>
    </w:p>
    <w:p w14:paraId="44B010A1">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kern w:val="2"/>
          <w:sz w:val="32"/>
          <w:szCs w:val="32"/>
          <w:lang w:val="en-US" w:eastAsia="zh-CN" w:bidi="ar-SA"/>
        </w:rPr>
        <w:t>（一）</w:t>
      </w:r>
      <w:r>
        <w:rPr>
          <w:rFonts w:hint="eastAsia" w:ascii="楷体" w:hAnsi="楷体" w:eastAsia="楷体" w:cs="楷体"/>
          <w:b w:val="0"/>
          <w:bCs/>
          <w:sz w:val="32"/>
          <w:szCs w:val="32"/>
          <w:highlight w:val="none"/>
          <w:lang w:val="en-US" w:eastAsia="zh-CN"/>
        </w:rPr>
        <w:t>企业数智化转型产教融合专委会建设</w:t>
      </w:r>
    </w:p>
    <w:p w14:paraId="29A672D7">
      <w:pPr>
        <w:pStyle w:val="1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仿宋_GB2312"/>
          <w:b/>
          <w:bCs/>
          <w:sz w:val="32"/>
          <w:szCs w:val="32"/>
          <w:highlight w:val="none"/>
        </w:rPr>
      </w:pPr>
      <w:r>
        <w:rPr>
          <w:rFonts w:hint="eastAsia" w:ascii="Times New Roman" w:hAnsi="Times New Roman" w:eastAsia="仿宋_GB2312" w:cs="仿宋_GB2312"/>
          <w:sz w:val="32"/>
          <w:szCs w:val="32"/>
          <w:highlight w:val="none"/>
        </w:rPr>
        <w:t>专委会是实践中心的重要组成部分，负责实践中心的战略规划、政策指导、资源整合及运营管理等工作，确保实践中心的高效运行与持续发展。专委会实行理事会制，设理事会、常务理事会、专家咨询委员会和秘书处，形成共建共管的组织</w:t>
      </w:r>
      <w:r>
        <w:rPr>
          <w:rFonts w:hint="eastAsia" w:ascii="Times New Roman" w:hAnsi="Times New Roman" w:eastAsia="仿宋_GB2312" w:cs="仿宋_GB2312"/>
          <w:sz w:val="32"/>
          <w:szCs w:val="32"/>
          <w:highlight w:val="none"/>
          <w:lang w:val="en-US" w:eastAsia="zh-CN"/>
        </w:rPr>
        <w:t>体系</w:t>
      </w:r>
      <w:r>
        <w:rPr>
          <w:rFonts w:hint="eastAsia" w:ascii="Times New Roman" w:hAnsi="Times New Roman" w:eastAsia="仿宋_GB2312" w:cs="仿宋_GB2312"/>
          <w:sz w:val="32"/>
          <w:szCs w:val="32"/>
          <w:highlight w:val="none"/>
        </w:rPr>
        <w:t>，构建政行企校多元组织结构，通过定期召开会议、校企调研、研讨交流等多形式的产教对接活动，共同制定实践中心发展规划、年度运营计划，编制与发布区域企业需求清单和企业数智化发展等相关报告，提供行业趋势分析、市场需求预测及行业标准制定等智库支持。</w:t>
      </w:r>
    </w:p>
    <w:p w14:paraId="2C56064C">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kern w:val="2"/>
          <w:sz w:val="32"/>
          <w:szCs w:val="32"/>
          <w:lang w:val="en-US" w:eastAsia="zh-CN" w:bidi="ar-SA"/>
        </w:rPr>
        <w:t>（二）</w:t>
      </w:r>
      <w:r>
        <w:rPr>
          <w:rFonts w:hint="eastAsia" w:ascii="楷体" w:hAnsi="楷体" w:eastAsia="楷体" w:cs="楷体"/>
          <w:b w:val="0"/>
          <w:bCs/>
          <w:sz w:val="32"/>
          <w:szCs w:val="32"/>
          <w:highlight w:val="none"/>
          <w:lang w:val="en-US" w:eastAsia="zh-CN"/>
        </w:rPr>
        <w:t>产教对接平台建设</w:t>
      </w:r>
    </w:p>
    <w:p w14:paraId="75034FB6">
      <w:pPr>
        <w:pageBreakBefore w:val="0"/>
        <w:widowControl w:val="0"/>
        <w:kinsoku/>
        <w:wordWrap/>
        <w:overflowPunct/>
        <w:topLinePunct w:val="0"/>
        <w:autoSpaceDE/>
        <w:autoSpaceDN/>
        <w:bidi w:val="0"/>
        <w:spacing w:line="600" w:lineRule="exact"/>
        <w:ind w:firstLine="640"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sz w:val="32"/>
          <w:szCs w:val="32"/>
          <w:highlight w:val="none"/>
        </w:rPr>
        <w:t xml:space="preserve">产教对接平台作为推动教育与产业深度融合的关键载体，旨在搭建产学研用合作网络，为区域企业数智化转型构建协同创新的人才培养生态系统，实现校企之间的精准对接和高效合作，促进技术、人才、资金等资源的高效流动与优化配置。 </w:t>
      </w:r>
    </w:p>
    <w:p w14:paraId="59B49FF8">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bCs/>
          <w:sz w:val="32"/>
          <w:szCs w:val="32"/>
          <w:highlight w:val="none"/>
        </w:rPr>
        <w:t>1.区域数据采集和产业发展分析</w:t>
      </w:r>
      <w:r>
        <w:rPr>
          <w:rFonts w:hint="eastAsia" w:ascii="Times New Roman" w:hAnsi="Times New Roman" w:eastAsia="仿宋_GB2312" w:cs="仿宋_GB2312"/>
          <w:b/>
          <w:bCs/>
          <w:sz w:val="32"/>
          <w:szCs w:val="32"/>
          <w:highlight w:val="none"/>
          <w:lang w:eastAsia="zh-CN"/>
        </w:rPr>
        <w:t>。</w:t>
      </w:r>
      <w:r>
        <w:rPr>
          <w:rFonts w:hint="eastAsia" w:ascii="Times New Roman" w:hAnsi="Times New Roman" w:eastAsia="仿宋_GB2312" w:cs="仿宋_GB2312"/>
          <w:sz w:val="32"/>
          <w:szCs w:val="32"/>
          <w:highlight w:val="none"/>
        </w:rPr>
        <w:t>利用</w:t>
      </w:r>
      <w:r>
        <w:rPr>
          <w:rFonts w:hint="eastAsia" w:ascii="Times New Roman" w:hAnsi="Times New Roman" w:eastAsia="仿宋_GB2312" w:cs="仿宋_GB2312"/>
          <w:sz w:val="32"/>
          <w:szCs w:val="32"/>
          <w:highlight w:val="none"/>
          <w:lang w:eastAsia="zh-CN"/>
        </w:rPr>
        <w:t>用友网络</w:t>
      </w:r>
      <w:r>
        <w:rPr>
          <w:rFonts w:hint="eastAsia" w:ascii="Times New Roman" w:hAnsi="Times New Roman" w:eastAsia="仿宋_GB2312" w:cs="仿宋_GB2312"/>
          <w:sz w:val="32"/>
          <w:szCs w:val="32"/>
          <w:highlight w:val="none"/>
        </w:rPr>
        <w:t>区域产业态势感知平台，全面收集区域内各行业的经济运行数据、企业运营数据以及市场趋势信息。通过大数据分析和人工智能技术，洞察区域产业的发展动态、技术变革方向以及市场需求变化，定期发布民营经济发展趋势和企业数智化转型相关报告，为政府、企业和</w:t>
      </w:r>
      <w:r>
        <w:rPr>
          <w:rFonts w:hint="eastAsia" w:ascii="Times New Roman" w:hAnsi="Times New Roman" w:eastAsia="仿宋_GB2312" w:cs="仿宋_GB2312"/>
          <w:sz w:val="32"/>
          <w:szCs w:val="32"/>
          <w:highlight w:val="none"/>
          <w:lang w:eastAsia="zh-CN"/>
        </w:rPr>
        <w:t>院校</w:t>
      </w:r>
      <w:r>
        <w:rPr>
          <w:rFonts w:hint="eastAsia" w:ascii="Times New Roman" w:hAnsi="Times New Roman" w:eastAsia="仿宋_GB2312" w:cs="仿宋_GB2312"/>
          <w:sz w:val="32"/>
          <w:szCs w:val="32"/>
          <w:highlight w:val="none"/>
        </w:rPr>
        <w:t>提供决策支持。</w:t>
      </w:r>
    </w:p>
    <w:p w14:paraId="258551B5">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bCs/>
          <w:sz w:val="32"/>
          <w:szCs w:val="32"/>
          <w:highlight w:val="none"/>
        </w:rPr>
        <w:t>2.人才需求分析与能力图谱构建</w:t>
      </w:r>
      <w:r>
        <w:rPr>
          <w:rFonts w:hint="eastAsia" w:ascii="Times New Roman" w:hAnsi="Times New Roman" w:eastAsia="仿宋_GB2312" w:cs="仿宋_GB2312"/>
          <w:b/>
          <w:bCs/>
          <w:sz w:val="32"/>
          <w:szCs w:val="32"/>
          <w:highlight w:val="none"/>
          <w:lang w:eastAsia="zh-CN"/>
        </w:rPr>
        <w:t>。</w:t>
      </w:r>
      <w:r>
        <w:rPr>
          <w:rFonts w:hint="eastAsia" w:ascii="Times New Roman" w:hAnsi="Times New Roman" w:eastAsia="仿宋_GB2312" w:cs="仿宋_GB2312"/>
          <w:sz w:val="32"/>
          <w:szCs w:val="32"/>
          <w:highlight w:val="none"/>
        </w:rPr>
        <w:t>依托全国工商联所属商会、行业委员会和民营企业资源优势，结合</w:t>
      </w:r>
      <w:r>
        <w:rPr>
          <w:rFonts w:hint="eastAsia" w:ascii="Times New Roman" w:hAnsi="Times New Roman" w:eastAsia="仿宋_GB2312" w:cs="仿宋_GB2312"/>
          <w:sz w:val="32"/>
          <w:szCs w:val="32"/>
          <w:highlight w:val="none"/>
          <w:lang w:eastAsia="zh-CN"/>
        </w:rPr>
        <w:t>用友网络</w:t>
      </w:r>
      <w:r>
        <w:rPr>
          <w:rFonts w:hint="eastAsia" w:ascii="Times New Roman" w:hAnsi="Times New Roman" w:eastAsia="仿宋_GB2312" w:cs="仿宋_GB2312"/>
          <w:sz w:val="32"/>
          <w:szCs w:val="32"/>
          <w:highlight w:val="none"/>
        </w:rPr>
        <w:t>区域产业态势感知平台的数据分析结果，分析企业数智化的人才结构、岗位设置、数量及关键技能，构建区域产业人才能力图谱，形成区域产业发展与人才需求相关报告，为制定人才培养方案提供科学依据。</w:t>
      </w:r>
    </w:p>
    <w:p w14:paraId="6E97BF48">
      <w:pPr>
        <w:pStyle w:val="2"/>
        <w:pageBreakBefore w:val="0"/>
        <w:widowControl w:val="0"/>
        <w:kinsoku/>
        <w:wordWrap/>
        <w:overflowPunct/>
        <w:topLinePunct w:val="0"/>
        <w:autoSpaceDE/>
        <w:autoSpaceDN/>
        <w:bidi w:val="0"/>
        <w:spacing w:line="600" w:lineRule="exact"/>
        <w:ind w:firstLine="0"/>
        <w:textAlignment w:val="auto"/>
        <w:rPr>
          <w:rFonts w:hint="eastAsia" w:ascii="Times New Roman" w:hAnsi="Times New Roman" w:eastAsia="仿宋_GB2312" w:cs="仿宋_GB2312"/>
          <w:sz w:val="32"/>
          <w:szCs w:val="32"/>
          <w:highlight w:val="none"/>
        </w:rPr>
      </w:pPr>
      <w:r>
        <w:rPr>
          <w:rFonts w:hint="eastAsia" w:ascii="Times New Roman" w:hAnsi="Times New Roman" w:eastAsia="仿宋_GB2312" w:cs="仿宋_GB2312"/>
          <w:b/>
          <w:bCs/>
          <w:sz w:val="32"/>
          <w:szCs w:val="32"/>
          <w:highlight w:val="none"/>
        </w:rPr>
        <w:t xml:space="preserve">    3.专业动态调整与人培方案制定</w:t>
      </w:r>
      <w:r>
        <w:rPr>
          <w:rFonts w:hint="eastAsia" w:ascii="Times New Roman" w:hAnsi="Times New Roman" w:eastAsia="仿宋_GB2312" w:cs="仿宋_GB2312"/>
          <w:b/>
          <w:bCs/>
          <w:sz w:val="32"/>
          <w:szCs w:val="32"/>
          <w:highlight w:val="none"/>
          <w:lang w:eastAsia="zh-CN"/>
        </w:rPr>
        <w:t>。</w:t>
      </w:r>
      <w:r>
        <w:rPr>
          <w:rFonts w:hint="eastAsia" w:ascii="Times New Roman" w:hAnsi="Times New Roman" w:eastAsia="仿宋_GB2312" w:cs="仿宋_GB2312"/>
          <w:sz w:val="32"/>
          <w:szCs w:val="32"/>
          <w:highlight w:val="none"/>
        </w:rPr>
        <w:t>联合</w:t>
      </w:r>
      <w:r>
        <w:rPr>
          <w:rFonts w:hint="eastAsia" w:ascii="Times New Roman" w:hAnsi="Times New Roman" w:eastAsia="仿宋_GB2312" w:cs="仿宋_GB2312"/>
          <w:sz w:val="32"/>
          <w:szCs w:val="32"/>
          <w:highlight w:val="none"/>
          <w:lang w:eastAsia="zh-CN"/>
        </w:rPr>
        <w:t>院校</w:t>
      </w:r>
      <w:r>
        <w:rPr>
          <w:rFonts w:hint="eastAsia" w:ascii="Times New Roman" w:hAnsi="Times New Roman" w:eastAsia="仿宋_GB2312" w:cs="仿宋_GB2312"/>
          <w:sz w:val="32"/>
          <w:szCs w:val="32"/>
          <w:highlight w:val="none"/>
        </w:rPr>
        <w:t>、企业和行业协会等多方力量，以岗位能力为基础，结合人才画像和能力图谱，针对不同行业、不同企业的具体需求，制定差异化、个性化、特色化的人才培养方案，确保人才培养与社会需求的匹配度，并配套完善人才培养质量跟踪评估体系，定期对培养效果进行反馈评估和优化，推动专业设置与区域产业布局紧密对接。</w:t>
      </w:r>
    </w:p>
    <w:p w14:paraId="4E818975">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kern w:val="2"/>
          <w:sz w:val="32"/>
          <w:szCs w:val="32"/>
          <w:lang w:val="en-US" w:eastAsia="zh-CN" w:bidi="ar-SA"/>
        </w:rPr>
        <w:t>（三）</w:t>
      </w:r>
      <w:r>
        <w:rPr>
          <w:rFonts w:hint="eastAsia" w:ascii="楷体" w:hAnsi="楷体" w:eastAsia="楷体" w:cs="楷体"/>
          <w:b w:val="0"/>
          <w:bCs/>
          <w:sz w:val="32"/>
          <w:szCs w:val="32"/>
          <w:highlight w:val="none"/>
          <w:lang w:val="en-US" w:eastAsia="zh-CN"/>
        </w:rPr>
        <w:t>高质量产教融合数智化教学体系建设</w:t>
      </w:r>
    </w:p>
    <w:p w14:paraId="621F538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仿宋_GB2312"/>
          <w:bCs/>
          <w:sz w:val="32"/>
          <w:szCs w:val="32"/>
          <w:highlight w:val="none"/>
          <w:lang w:val="en-US" w:eastAsia="zh-CN"/>
        </w:rPr>
      </w:pPr>
      <w:r>
        <w:rPr>
          <w:rFonts w:hint="eastAsia" w:ascii="Times New Roman" w:hAnsi="Times New Roman" w:eastAsia="仿宋_GB2312" w:cs="仿宋_GB2312"/>
          <w:bCs/>
          <w:sz w:val="32"/>
          <w:szCs w:val="32"/>
          <w:highlight w:val="none"/>
        </w:rPr>
        <w:t>按照开放多元、协同运营的建设理念，聚合产教实践教学资源</w:t>
      </w:r>
      <w:r>
        <w:rPr>
          <w:rFonts w:hint="eastAsia" w:ascii="Times New Roman" w:hAnsi="Times New Roman" w:eastAsia="仿宋_GB2312" w:cs="仿宋_GB2312"/>
          <w:bCs/>
          <w:sz w:val="32"/>
          <w:szCs w:val="32"/>
          <w:highlight w:val="none"/>
          <w:lang w:eastAsia="zh-CN"/>
        </w:rPr>
        <w:t>，</w:t>
      </w:r>
      <w:r>
        <w:rPr>
          <w:rFonts w:hint="eastAsia" w:ascii="Times New Roman" w:hAnsi="Times New Roman" w:eastAsia="仿宋_GB2312" w:cs="仿宋_GB2312"/>
          <w:bCs/>
          <w:sz w:val="32"/>
          <w:szCs w:val="32"/>
          <w:highlight w:val="none"/>
          <w:lang w:val="en-US" w:eastAsia="zh-CN"/>
        </w:rPr>
        <w:t>通过</w:t>
      </w:r>
      <w:r>
        <w:rPr>
          <w:rFonts w:hint="eastAsia" w:ascii="Times New Roman" w:hAnsi="Times New Roman" w:eastAsia="仿宋_GB2312" w:cs="仿宋_GB2312"/>
          <w:bCs/>
          <w:sz w:val="32"/>
          <w:szCs w:val="32"/>
          <w:highlight w:val="none"/>
        </w:rPr>
        <w:t>深化校外</w:t>
      </w:r>
      <w:r>
        <w:rPr>
          <w:rFonts w:hint="eastAsia" w:ascii="Times New Roman" w:hAnsi="Times New Roman" w:eastAsia="仿宋_GB2312" w:cs="仿宋_GB2312"/>
          <w:bCs/>
          <w:sz w:val="32"/>
          <w:szCs w:val="32"/>
          <w:highlight w:val="none"/>
          <w:lang w:val="en-US" w:eastAsia="zh-CN"/>
        </w:rPr>
        <w:t>企业</w:t>
      </w:r>
      <w:r>
        <w:rPr>
          <w:rFonts w:hint="eastAsia" w:ascii="Times New Roman" w:hAnsi="Times New Roman" w:eastAsia="仿宋_GB2312" w:cs="仿宋_GB2312"/>
          <w:bCs/>
          <w:sz w:val="32"/>
          <w:szCs w:val="32"/>
          <w:highlight w:val="none"/>
        </w:rPr>
        <w:t>实践基地和校内</w:t>
      </w:r>
      <w:r>
        <w:rPr>
          <w:rFonts w:hint="eastAsia" w:ascii="Times New Roman" w:hAnsi="Times New Roman" w:eastAsia="仿宋_GB2312" w:cs="仿宋_GB2312"/>
          <w:bCs/>
          <w:sz w:val="32"/>
          <w:szCs w:val="32"/>
          <w:highlight w:val="none"/>
          <w:lang w:val="en-US" w:eastAsia="zh-CN"/>
        </w:rPr>
        <w:t>教学</w:t>
      </w:r>
      <w:r>
        <w:rPr>
          <w:rFonts w:hint="eastAsia" w:ascii="Times New Roman" w:hAnsi="Times New Roman" w:eastAsia="仿宋_GB2312" w:cs="仿宋_GB2312"/>
          <w:bCs/>
          <w:sz w:val="32"/>
          <w:szCs w:val="32"/>
          <w:highlight w:val="none"/>
          <w:lang w:eastAsia="zh-CN"/>
        </w:rPr>
        <w:t>体系</w:t>
      </w:r>
      <w:r>
        <w:rPr>
          <w:rFonts w:hint="eastAsia" w:ascii="Times New Roman" w:hAnsi="Times New Roman" w:eastAsia="仿宋_GB2312" w:cs="仿宋_GB2312"/>
          <w:bCs/>
          <w:sz w:val="32"/>
          <w:szCs w:val="32"/>
          <w:highlight w:val="none"/>
        </w:rPr>
        <w:t>建设，将企业真实</w:t>
      </w:r>
      <w:r>
        <w:rPr>
          <w:rFonts w:hint="eastAsia" w:ascii="Times New Roman" w:hAnsi="Times New Roman" w:eastAsia="仿宋_GB2312" w:cs="仿宋_GB2312"/>
          <w:bCs/>
          <w:sz w:val="32"/>
          <w:szCs w:val="32"/>
          <w:highlight w:val="none"/>
          <w:lang w:val="en-US" w:eastAsia="zh-CN"/>
        </w:rPr>
        <w:t>数智化转型</w:t>
      </w:r>
      <w:r>
        <w:rPr>
          <w:rFonts w:hint="eastAsia" w:ascii="Times New Roman" w:hAnsi="Times New Roman" w:eastAsia="仿宋_GB2312" w:cs="仿宋_GB2312"/>
          <w:bCs/>
          <w:sz w:val="32"/>
          <w:szCs w:val="32"/>
          <w:highlight w:val="none"/>
        </w:rPr>
        <w:t>项目或典型案例引入实践教学过程</w:t>
      </w:r>
      <w:r>
        <w:rPr>
          <w:rFonts w:hint="eastAsia" w:ascii="Times New Roman" w:hAnsi="Times New Roman" w:eastAsia="仿宋_GB2312" w:cs="仿宋_GB2312"/>
          <w:bCs/>
          <w:sz w:val="32"/>
          <w:szCs w:val="32"/>
          <w:highlight w:val="none"/>
          <w:lang w:eastAsia="zh-CN"/>
        </w:rPr>
        <w:t>，</w:t>
      </w:r>
      <w:r>
        <w:rPr>
          <w:rFonts w:hint="eastAsia" w:ascii="Times New Roman" w:hAnsi="Times New Roman" w:eastAsia="仿宋_GB2312" w:cs="仿宋_GB2312"/>
          <w:bCs/>
          <w:sz w:val="32"/>
          <w:szCs w:val="32"/>
          <w:highlight w:val="none"/>
        </w:rPr>
        <w:t>支持</w:t>
      </w:r>
      <w:r>
        <w:rPr>
          <w:rFonts w:hint="eastAsia" w:ascii="Times New Roman" w:hAnsi="Times New Roman" w:eastAsia="仿宋_GB2312" w:cs="仿宋_GB2312"/>
          <w:bCs/>
          <w:sz w:val="32"/>
          <w:szCs w:val="32"/>
          <w:highlight w:val="none"/>
          <w:lang w:val="en-US" w:eastAsia="zh-CN"/>
        </w:rPr>
        <w:t>企业</w:t>
      </w:r>
      <w:r>
        <w:rPr>
          <w:rFonts w:hint="eastAsia" w:ascii="Times New Roman" w:hAnsi="Times New Roman" w:eastAsia="仿宋_GB2312" w:cs="仿宋_GB2312"/>
          <w:bCs/>
          <w:sz w:val="32"/>
          <w:szCs w:val="32"/>
          <w:highlight w:val="none"/>
        </w:rPr>
        <w:t>有丰富实践经验的技术或管理人员全程参与</w:t>
      </w:r>
      <w:r>
        <w:rPr>
          <w:rFonts w:hint="eastAsia" w:ascii="Times New Roman" w:hAnsi="Times New Roman" w:eastAsia="仿宋_GB2312" w:cs="仿宋_GB2312"/>
          <w:bCs/>
          <w:sz w:val="32"/>
          <w:szCs w:val="32"/>
          <w:highlight w:val="none"/>
          <w:lang w:val="en-US" w:eastAsia="zh-CN"/>
        </w:rPr>
        <w:t>校内</w:t>
      </w:r>
      <w:r>
        <w:rPr>
          <w:rFonts w:hint="eastAsia" w:ascii="Times New Roman" w:hAnsi="Times New Roman" w:eastAsia="仿宋_GB2312" w:cs="仿宋_GB2312"/>
          <w:bCs/>
          <w:sz w:val="32"/>
          <w:szCs w:val="32"/>
          <w:highlight w:val="none"/>
        </w:rPr>
        <w:t>实践教学项目的设计、组织、实施和考核，</w:t>
      </w:r>
      <w:r>
        <w:rPr>
          <w:rFonts w:hint="eastAsia" w:ascii="Times New Roman" w:hAnsi="Times New Roman" w:eastAsia="仿宋_GB2312" w:cs="仿宋_GB2312"/>
          <w:bCs/>
          <w:sz w:val="32"/>
          <w:szCs w:val="32"/>
          <w:highlight w:val="none"/>
          <w:lang w:val="en-US" w:eastAsia="zh-CN"/>
        </w:rPr>
        <w:t>建立“企业导师+校内导师”双元指导考核机制，</w:t>
      </w:r>
      <w:r>
        <w:rPr>
          <w:rFonts w:hint="eastAsia" w:ascii="Times New Roman" w:hAnsi="Times New Roman" w:eastAsia="仿宋_GB2312" w:cs="仿宋_GB2312"/>
          <w:bCs/>
          <w:sz w:val="32"/>
          <w:szCs w:val="32"/>
          <w:highlight w:val="none"/>
        </w:rPr>
        <w:t>推进基于真实问题情境的项目式教学，培养学生解决复杂实际</w:t>
      </w:r>
      <w:r>
        <w:rPr>
          <w:rFonts w:hint="eastAsia" w:ascii="Times New Roman" w:hAnsi="Times New Roman" w:eastAsia="仿宋_GB2312" w:cs="仿宋_GB2312"/>
          <w:bCs/>
          <w:sz w:val="32"/>
          <w:szCs w:val="32"/>
          <w:highlight w:val="none"/>
          <w:lang w:val="en-US" w:eastAsia="zh-CN"/>
        </w:rPr>
        <w:t>问题的能力。通过产教协同开发建设数字教材、AI数字人、知识库、虚拟仿真实验教学项目、项目案例库等优质数字化教学资源的方式，及时将企业数智化转型领域的科学研究新进展、实践应用新成果、社会需求新变化融入实践教学内容，构建“教学—科研—学习—实践”的协同架构，体系化支撑数智人才培养。</w:t>
      </w:r>
    </w:p>
    <w:p w14:paraId="70F114F1">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kern w:val="2"/>
          <w:sz w:val="32"/>
          <w:szCs w:val="32"/>
          <w:lang w:val="en-US" w:eastAsia="zh-CN" w:bidi="ar-SA"/>
        </w:rPr>
        <w:t>（四）</w:t>
      </w:r>
      <w:r>
        <w:rPr>
          <w:rFonts w:hint="eastAsia" w:ascii="楷体" w:hAnsi="楷体" w:eastAsia="楷体" w:cs="楷体"/>
          <w:b w:val="0"/>
          <w:bCs/>
          <w:sz w:val="32"/>
          <w:szCs w:val="32"/>
          <w:highlight w:val="none"/>
          <w:lang w:val="en-US" w:eastAsia="zh-CN"/>
        </w:rPr>
        <w:t>企业数智化转型服务平台建设</w:t>
      </w:r>
    </w:p>
    <w:p w14:paraId="4727F63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仿宋_GB2312"/>
          <w:b/>
          <w:sz w:val="32"/>
          <w:szCs w:val="32"/>
          <w:highlight w:val="none"/>
          <w:lang w:val="en-US" w:eastAsia="zh-CN"/>
        </w:rPr>
      </w:pPr>
      <w:r>
        <w:rPr>
          <w:rFonts w:hint="eastAsia" w:ascii="Times New Roman" w:hAnsi="Times New Roman" w:eastAsia="仿宋_GB2312" w:cs="仿宋_GB2312"/>
          <w:sz w:val="32"/>
          <w:szCs w:val="32"/>
          <w:highlight w:val="none"/>
          <w:lang w:val="en-US" w:eastAsia="zh-CN"/>
        </w:rPr>
        <w:t>围绕全国工商联《民营企业数字化转型服务平台建设指南（试行）》核心要求，企业型服务平台由具备数字化转型整体服务能力的优势企业牵头建设，依托用友网络作为全球领先的企业数智化软件与服务提供商的技术优势，以商业创新平台为技术底座，构建面向民营企业的数智化转型服务平台，为民营企业提供数智化转型诊断、咨询、辅导、培训、观摩学习等服务，充分发挥技术服务和培训服务功能。面向民营企业数智化转型需要，校企联合开展技术和课题攻关，促进科技成果转化，降低企业研发成本，增强民营企业创新活力。强化科研育人功能，及时把最新科研成果转化为教学内容，推动服务平台和资源更大范围开放共享，为学生接触学科前沿、开展数智化转型实践创造条件。</w:t>
      </w:r>
    </w:p>
    <w:p w14:paraId="494E2E41">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kern w:val="2"/>
          <w:sz w:val="32"/>
          <w:szCs w:val="32"/>
          <w:lang w:val="en-US" w:eastAsia="zh-CN" w:bidi="ar-SA"/>
        </w:rPr>
        <w:t>（五）</w:t>
      </w:r>
      <w:r>
        <w:rPr>
          <w:rFonts w:hint="eastAsia" w:ascii="楷体" w:hAnsi="楷体" w:eastAsia="楷体" w:cs="楷体"/>
          <w:b w:val="0"/>
          <w:bCs/>
          <w:sz w:val="32"/>
          <w:szCs w:val="32"/>
          <w:highlight w:val="none"/>
          <w:lang w:val="en-US" w:eastAsia="zh-CN"/>
        </w:rPr>
        <w:t>实习就业对接平台建设</w:t>
      </w:r>
    </w:p>
    <w:p w14:paraId="1B3E76DD">
      <w:pPr>
        <w:pStyle w:val="2"/>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Times New Roman" w:hAnsi="Times New Roman" w:eastAsia="仿宋_GB2312" w:cs="仿宋_GB2312"/>
          <w:sz w:val="32"/>
          <w:szCs w:val="32"/>
          <w:highlight w:val="none"/>
          <w:lang w:val="en-US" w:eastAsia="zh-CN"/>
        </w:rPr>
      </w:pPr>
      <w:r>
        <w:rPr>
          <w:rFonts w:hint="eastAsia" w:ascii="Times New Roman" w:hAnsi="Times New Roman" w:eastAsia="仿宋_GB2312" w:cs="仿宋_GB2312"/>
          <w:kern w:val="2"/>
          <w:sz w:val="32"/>
          <w:szCs w:val="32"/>
          <w:highlight w:val="none"/>
          <w:lang w:val="en-US" w:eastAsia="zh-CN" w:bidi="ar-SA"/>
        </w:rPr>
        <w:t>充分开放全国工商联人才中心和用友网络在企业资源和人才服务方面的优势和合作生态，为实践中心的学生提供丰富的实习岗位资源。建立并完善校企合作的长效机制，研究制定实习就业对接政策与措施。组织并协调区域民营企业参与“百城千校万企”促就业等实习就业对接活动，举办万企云聘系列招聘会；利用新媒体技术，创新招聘形式，开展“直播带岗”活动；联动用友网络“新道人才网”平台打造千企万岗行动，畅通供需对接信息，实现学生实习就业需求与企业岗位需求的精准匹配，不断推动民营企业数智化人才的常态化、平台化、便捷化、规模化输送，为区域经济社会发展提供有力人才支撑。</w:t>
      </w:r>
    </w:p>
    <w:p w14:paraId="7FCF5684">
      <w:pPr>
        <w:pStyle w:val="3"/>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黑体" w:hAnsi="黑体" w:eastAsia="黑体" w:cs="黑体"/>
          <w:b w:val="0"/>
          <w:bCs/>
          <w:kern w:val="44"/>
          <w:sz w:val="32"/>
          <w:szCs w:val="32"/>
          <w:lang w:val="en-US" w:eastAsia="zh-CN" w:bidi="ar-SA"/>
        </w:rPr>
      </w:pPr>
      <w:r>
        <w:rPr>
          <w:rFonts w:hint="eastAsia" w:ascii="黑体" w:hAnsi="黑体" w:eastAsia="黑体" w:cs="黑体"/>
          <w:b w:val="0"/>
          <w:bCs/>
          <w:kern w:val="44"/>
          <w:sz w:val="32"/>
          <w:szCs w:val="32"/>
          <w:lang w:val="en-US" w:eastAsia="zh-CN" w:bidi="ar-SA"/>
        </w:rPr>
        <w:t>四、建设验收与运营</w:t>
      </w:r>
    </w:p>
    <w:p w14:paraId="366425ED">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sz w:val="32"/>
          <w:szCs w:val="32"/>
          <w:highlight w:val="none"/>
          <w:lang w:val="en-US" w:eastAsia="zh-CN"/>
        </w:rPr>
        <w:t>（一）建设程序</w:t>
      </w:r>
    </w:p>
    <w:p w14:paraId="743C9BCE">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
          <w:kern w:val="44"/>
          <w:sz w:val="32"/>
          <w:szCs w:val="32"/>
          <w:highlight w:val="none"/>
        </w:rPr>
        <w:t>1.组建</w:t>
      </w:r>
      <w:r>
        <w:rPr>
          <w:rFonts w:hint="eastAsia" w:ascii="Times New Roman" w:hAnsi="Times New Roman" w:eastAsia="仿宋_GB2312" w:cs="仿宋_GB2312"/>
          <w:b/>
          <w:kern w:val="44"/>
          <w:sz w:val="32"/>
          <w:szCs w:val="32"/>
          <w:highlight w:val="none"/>
          <w:lang w:eastAsia="zh-CN"/>
        </w:rPr>
        <w:t>组织架构</w:t>
      </w:r>
      <w:r>
        <w:rPr>
          <w:rFonts w:hint="eastAsia" w:ascii="Times New Roman" w:hAnsi="Times New Roman" w:eastAsia="仿宋_GB2312" w:cs="仿宋_GB2312"/>
          <w:b/>
          <w:kern w:val="44"/>
          <w:sz w:val="32"/>
          <w:szCs w:val="32"/>
          <w:highlight w:val="none"/>
        </w:rPr>
        <w:t>：</w:t>
      </w:r>
      <w:r>
        <w:rPr>
          <w:rFonts w:hint="eastAsia" w:ascii="Times New Roman" w:hAnsi="Times New Roman" w:eastAsia="仿宋_GB2312" w:cs="仿宋_GB2312"/>
          <w:bCs/>
          <w:kern w:val="44"/>
          <w:sz w:val="32"/>
          <w:szCs w:val="32"/>
          <w:highlight w:val="none"/>
        </w:rPr>
        <w:t>立项后，申报</w:t>
      </w:r>
      <w:r>
        <w:rPr>
          <w:rFonts w:hint="eastAsia" w:ascii="Times New Roman" w:hAnsi="Times New Roman" w:eastAsia="仿宋_GB2312" w:cs="仿宋_GB2312"/>
          <w:bCs/>
          <w:kern w:val="44"/>
          <w:sz w:val="32"/>
          <w:szCs w:val="32"/>
          <w:highlight w:val="none"/>
          <w:lang w:eastAsia="zh-CN"/>
        </w:rPr>
        <w:t>院校</w:t>
      </w:r>
      <w:r>
        <w:rPr>
          <w:rFonts w:hint="eastAsia" w:ascii="Times New Roman" w:hAnsi="Times New Roman" w:eastAsia="仿宋_GB2312" w:cs="仿宋_GB2312"/>
          <w:bCs/>
          <w:kern w:val="44"/>
          <w:sz w:val="32"/>
          <w:szCs w:val="32"/>
          <w:highlight w:val="none"/>
        </w:rPr>
        <w:t>需组建由学校领导、企业代表、专家等组成的</w:t>
      </w:r>
      <w:r>
        <w:rPr>
          <w:rFonts w:hint="eastAsia" w:ascii="仿宋_GB2312" w:hAnsi="Times New Roman" w:eastAsia="仿宋_GB2312" w:cs="仿宋_GB2312"/>
          <w:bCs/>
          <w:kern w:val="44"/>
          <w:sz w:val="32"/>
          <w:szCs w:val="32"/>
          <w:lang w:val="en-US" w:eastAsia="zh-CN" w:bidi="ar"/>
        </w:rPr>
        <w:t>实践中心建设小组</w:t>
      </w:r>
      <w:r>
        <w:rPr>
          <w:rFonts w:hint="eastAsia" w:ascii="Times New Roman" w:hAnsi="Times New Roman" w:eastAsia="仿宋_GB2312" w:cs="仿宋_GB2312"/>
          <w:bCs/>
          <w:kern w:val="44"/>
          <w:sz w:val="32"/>
          <w:szCs w:val="32"/>
          <w:highlight w:val="none"/>
        </w:rPr>
        <w:t>，负责项目的具体实施。</w:t>
      </w:r>
    </w:p>
    <w:p w14:paraId="54322BF0">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
          <w:kern w:val="44"/>
          <w:sz w:val="32"/>
          <w:szCs w:val="32"/>
          <w:highlight w:val="none"/>
        </w:rPr>
        <w:t>2.制定方案：</w:t>
      </w:r>
      <w:r>
        <w:rPr>
          <w:rFonts w:hint="eastAsia" w:ascii="仿宋_GB2312" w:hAnsi="Times New Roman" w:eastAsia="仿宋_GB2312" w:cs="仿宋_GB2312"/>
          <w:bCs/>
          <w:kern w:val="44"/>
          <w:sz w:val="32"/>
          <w:szCs w:val="32"/>
          <w:lang w:val="en-US" w:eastAsia="zh-CN" w:bidi="ar"/>
        </w:rPr>
        <w:t>建设小组</w:t>
      </w:r>
      <w:r>
        <w:rPr>
          <w:rFonts w:hint="eastAsia" w:ascii="Times New Roman" w:hAnsi="Times New Roman" w:eastAsia="仿宋_GB2312" w:cs="仿宋_GB2312"/>
          <w:bCs/>
          <w:kern w:val="44"/>
          <w:sz w:val="32"/>
          <w:szCs w:val="32"/>
          <w:highlight w:val="none"/>
        </w:rPr>
        <w:t>根据立项通知书要求，</w:t>
      </w:r>
      <w:r>
        <w:rPr>
          <w:rFonts w:hint="eastAsia" w:ascii="仿宋_GB2312" w:hAnsi="Times New Roman" w:eastAsia="仿宋_GB2312" w:cs="仿宋_GB2312"/>
          <w:bCs/>
          <w:kern w:val="44"/>
          <w:sz w:val="32"/>
          <w:szCs w:val="32"/>
          <w:lang w:val="en-US" w:eastAsia="zh-CN" w:bidi="ar"/>
        </w:rPr>
        <w:t>参照本指南，</w:t>
      </w:r>
      <w:r>
        <w:rPr>
          <w:rFonts w:hint="eastAsia" w:ascii="Times New Roman" w:hAnsi="Times New Roman" w:eastAsia="仿宋_GB2312" w:cs="仿宋_GB2312"/>
          <w:bCs/>
          <w:kern w:val="44"/>
          <w:sz w:val="32"/>
          <w:szCs w:val="32"/>
          <w:highlight w:val="none"/>
        </w:rPr>
        <w:t>结合实际情况，制定详细的建设方案，明确建设目标、任务分工、时间节点等。</w:t>
      </w:r>
    </w:p>
    <w:p w14:paraId="23CC8B01">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
          <w:kern w:val="44"/>
          <w:sz w:val="32"/>
          <w:szCs w:val="32"/>
          <w:highlight w:val="none"/>
        </w:rPr>
        <w:t>3.签订合作协议：</w:t>
      </w:r>
      <w:r>
        <w:rPr>
          <w:rFonts w:hint="eastAsia" w:ascii="Times New Roman" w:hAnsi="Times New Roman" w:eastAsia="仿宋_GB2312" w:cs="仿宋_GB2312"/>
          <w:bCs/>
          <w:kern w:val="44"/>
          <w:sz w:val="32"/>
          <w:szCs w:val="32"/>
          <w:highlight w:val="none"/>
        </w:rPr>
        <w:t>与参与合作的</w:t>
      </w:r>
      <w:r>
        <w:rPr>
          <w:rFonts w:hint="eastAsia" w:ascii="仿宋_GB2312" w:hAnsi="Times New Roman" w:eastAsia="仿宋_GB2312" w:cs="仿宋_GB2312"/>
          <w:bCs/>
          <w:kern w:val="44"/>
          <w:sz w:val="32"/>
          <w:szCs w:val="32"/>
          <w:lang w:val="en-US" w:eastAsia="zh-CN" w:bidi="ar"/>
        </w:rPr>
        <w:t>商会、行业委员会、民营企业</w:t>
      </w:r>
      <w:r>
        <w:rPr>
          <w:rFonts w:hint="eastAsia" w:ascii="Times New Roman" w:hAnsi="Times New Roman" w:eastAsia="仿宋_GB2312" w:cs="仿宋_GB2312"/>
          <w:bCs/>
          <w:kern w:val="44"/>
          <w:sz w:val="32"/>
          <w:szCs w:val="32"/>
          <w:highlight w:val="none"/>
        </w:rPr>
        <w:t>等签订正式的合作协议，明确双方的权利义务。</w:t>
      </w:r>
    </w:p>
    <w:p w14:paraId="7F05660B">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
          <w:kern w:val="44"/>
          <w:sz w:val="32"/>
          <w:szCs w:val="32"/>
          <w:highlight w:val="none"/>
        </w:rPr>
        <w:t>4.实施建设：</w:t>
      </w:r>
      <w:r>
        <w:rPr>
          <w:rFonts w:hint="eastAsia" w:ascii="Times New Roman" w:hAnsi="Times New Roman" w:eastAsia="仿宋_GB2312" w:cs="仿宋_GB2312"/>
          <w:bCs/>
          <w:kern w:val="44"/>
          <w:sz w:val="32"/>
          <w:szCs w:val="32"/>
          <w:highlight w:val="none"/>
        </w:rPr>
        <w:t>按照建设方案要求，分阶段、分步骤实施建设，确保项目按期完成。</w:t>
      </w:r>
    </w:p>
    <w:p w14:paraId="5311FF3A">
      <w:pPr>
        <w:pStyle w:val="4"/>
        <w:keepNext/>
        <w:keepLines/>
        <w:pageBreakBefore w:val="0"/>
        <w:widowControl w:val="0"/>
        <w:numPr>
          <w:ilvl w:val="0"/>
          <w:numId w:val="0"/>
        </w:numPr>
        <w:kinsoku/>
        <w:wordWrap/>
        <w:overflowPunct/>
        <w:topLinePunct w:val="0"/>
        <w:autoSpaceDE/>
        <w:autoSpaceDN/>
        <w:bidi w:val="0"/>
        <w:adjustRightInd/>
        <w:snapToGrid/>
        <w:spacing w:before="0" w:beforeLines="0" w:after="0" w:afterLines="0" w:line="600" w:lineRule="exact"/>
        <w:ind w:firstLine="640" w:firstLineChars="200"/>
        <w:textAlignment w:val="auto"/>
        <w:rPr>
          <w:rFonts w:hint="eastAsia" w:ascii="楷体" w:hAnsi="楷体" w:eastAsia="楷体" w:cs="楷体"/>
          <w:b w:val="0"/>
          <w:bCs/>
          <w:sz w:val="32"/>
          <w:szCs w:val="32"/>
          <w:highlight w:val="none"/>
          <w:lang w:val="en-US" w:eastAsia="zh-CN"/>
        </w:rPr>
      </w:pPr>
      <w:r>
        <w:rPr>
          <w:rFonts w:hint="eastAsia" w:ascii="楷体" w:hAnsi="楷体" w:eastAsia="楷体" w:cs="楷体"/>
          <w:b w:val="0"/>
          <w:bCs/>
          <w:sz w:val="32"/>
          <w:szCs w:val="32"/>
          <w:highlight w:val="none"/>
          <w:lang w:val="en-US" w:eastAsia="zh-CN"/>
        </w:rPr>
        <w:t>（二）验收运营</w:t>
      </w:r>
    </w:p>
    <w:p w14:paraId="26A30B34">
      <w:pPr>
        <w:pageBreakBefore w:val="0"/>
        <w:widowControl w:val="0"/>
        <w:kinsoku/>
        <w:wordWrap/>
        <w:overflowPunct/>
        <w:topLinePunct w:val="0"/>
        <w:autoSpaceDE/>
        <w:autoSpaceDN/>
        <w:bidi w:val="0"/>
        <w:spacing w:line="600" w:lineRule="exact"/>
        <w:ind w:firstLine="640"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Cs/>
          <w:kern w:val="44"/>
          <w:sz w:val="32"/>
          <w:szCs w:val="32"/>
          <w:highlight w:val="none"/>
        </w:rPr>
        <w:t>建设完成后，全国工商联人才中心将会同用友网络聘请相关产业专家对项目进行验收，确保</w:t>
      </w:r>
      <w:r>
        <w:rPr>
          <w:rFonts w:hint="eastAsia" w:ascii="Times New Roman" w:hAnsi="Times New Roman" w:eastAsia="仿宋_GB2312" w:cs="仿宋_GB2312"/>
          <w:kern w:val="44"/>
          <w:sz w:val="32"/>
          <w:szCs w:val="32"/>
          <w:highlight w:val="none"/>
        </w:rPr>
        <w:t>实践</w:t>
      </w:r>
      <w:r>
        <w:rPr>
          <w:rFonts w:hint="eastAsia" w:ascii="Times New Roman" w:hAnsi="Times New Roman" w:eastAsia="仿宋_GB2312" w:cs="仿宋_GB2312"/>
          <w:bCs/>
          <w:kern w:val="44"/>
          <w:sz w:val="32"/>
          <w:szCs w:val="32"/>
          <w:highlight w:val="none"/>
        </w:rPr>
        <w:t>中心建设达到预期目标。</w:t>
      </w:r>
      <w:r>
        <w:rPr>
          <w:rFonts w:hint="eastAsia" w:ascii="Times New Roman" w:hAnsi="Times New Roman" w:eastAsia="仿宋_GB2312" w:cs="仿宋_GB2312"/>
          <w:bCs/>
          <w:kern w:val="44"/>
          <w:sz w:val="32"/>
          <w:szCs w:val="32"/>
          <w:highlight w:val="none"/>
          <w:lang w:eastAsia="zh-CN"/>
        </w:rPr>
        <w:t>验收内容</w:t>
      </w:r>
      <w:r>
        <w:rPr>
          <w:rFonts w:hint="eastAsia" w:ascii="Times New Roman" w:hAnsi="Times New Roman" w:eastAsia="仿宋_GB2312" w:cs="仿宋_GB2312"/>
          <w:bCs/>
          <w:kern w:val="44"/>
          <w:sz w:val="32"/>
          <w:szCs w:val="32"/>
          <w:highlight w:val="none"/>
        </w:rPr>
        <w:t>主要包括对实践中心的建设方案、实施过程、资金</w:t>
      </w:r>
      <w:r>
        <w:rPr>
          <w:rFonts w:hint="eastAsia" w:ascii="Times New Roman" w:hAnsi="Times New Roman" w:eastAsia="仿宋_GB2312" w:cs="仿宋_GB2312"/>
          <w:bCs/>
          <w:kern w:val="44"/>
          <w:sz w:val="32"/>
          <w:szCs w:val="32"/>
          <w:highlight w:val="none"/>
          <w:lang w:eastAsia="zh-CN"/>
        </w:rPr>
        <w:t>保障</w:t>
      </w:r>
      <w:r>
        <w:rPr>
          <w:rFonts w:hint="eastAsia" w:ascii="Times New Roman" w:hAnsi="Times New Roman" w:eastAsia="仿宋_GB2312" w:cs="仿宋_GB2312"/>
          <w:bCs/>
          <w:kern w:val="44"/>
          <w:sz w:val="32"/>
          <w:szCs w:val="32"/>
          <w:highlight w:val="none"/>
        </w:rPr>
        <w:t>、设备采购、师资队伍、技能培训、实习就业、区域经济支撑、社会服务贡献等进行审查。</w:t>
      </w:r>
    </w:p>
    <w:p w14:paraId="5E3535D0">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
          <w:kern w:val="44"/>
          <w:sz w:val="32"/>
          <w:szCs w:val="32"/>
          <w:highlight w:val="none"/>
        </w:rPr>
        <w:t>1.验收申请：</w:t>
      </w:r>
      <w:r>
        <w:rPr>
          <w:rFonts w:hint="eastAsia" w:ascii="Times New Roman" w:hAnsi="Times New Roman" w:eastAsia="仿宋_GB2312" w:cs="仿宋_GB2312"/>
          <w:bCs/>
          <w:kern w:val="44"/>
          <w:sz w:val="32"/>
          <w:szCs w:val="32"/>
          <w:highlight w:val="none"/>
        </w:rPr>
        <w:t>向实践中心项目办公室提交验收申请，并附上相关验收材料。</w:t>
      </w:r>
    </w:p>
    <w:p w14:paraId="59C95912">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
          <w:kern w:val="44"/>
          <w:sz w:val="32"/>
          <w:szCs w:val="32"/>
          <w:highlight w:val="none"/>
        </w:rPr>
        <w:t>2.初步验收：</w:t>
      </w:r>
      <w:r>
        <w:rPr>
          <w:rFonts w:hint="eastAsia" w:ascii="Times New Roman" w:hAnsi="Times New Roman" w:eastAsia="仿宋_GB2312" w:cs="仿宋_GB2312"/>
          <w:bCs/>
          <w:kern w:val="44"/>
          <w:sz w:val="32"/>
          <w:szCs w:val="32"/>
          <w:highlight w:val="none"/>
        </w:rPr>
        <w:t>由</w:t>
      </w:r>
      <w:r>
        <w:rPr>
          <w:rFonts w:hint="eastAsia" w:ascii="Times New Roman" w:hAnsi="Times New Roman" w:eastAsia="仿宋_GB2312" w:cs="仿宋_GB2312"/>
          <w:bCs/>
          <w:kern w:val="44"/>
          <w:sz w:val="32"/>
          <w:szCs w:val="32"/>
          <w:highlight w:val="none"/>
          <w:lang w:eastAsia="zh-CN"/>
        </w:rPr>
        <w:t>实践中心项目办公室</w:t>
      </w:r>
      <w:r>
        <w:rPr>
          <w:rFonts w:hint="eastAsia" w:ascii="Times New Roman" w:hAnsi="Times New Roman" w:eastAsia="仿宋_GB2312" w:cs="仿宋_GB2312"/>
          <w:bCs/>
          <w:kern w:val="44"/>
          <w:sz w:val="32"/>
          <w:szCs w:val="32"/>
          <w:highlight w:val="none"/>
        </w:rPr>
        <w:t>组织专家团队对项目进行初步验收，检查建设完成情况。</w:t>
      </w:r>
    </w:p>
    <w:p w14:paraId="1C6AE98C">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
          <w:bCs/>
          <w:kern w:val="44"/>
          <w:sz w:val="32"/>
          <w:szCs w:val="32"/>
          <w:highlight w:val="none"/>
        </w:rPr>
        <w:t>3.现场核查</w:t>
      </w:r>
      <w:r>
        <w:rPr>
          <w:rFonts w:hint="eastAsia" w:ascii="Times New Roman" w:hAnsi="Times New Roman" w:eastAsia="仿宋_GB2312" w:cs="仿宋_GB2312"/>
          <w:bCs/>
          <w:kern w:val="44"/>
          <w:sz w:val="32"/>
          <w:szCs w:val="32"/>
          <w:highlight w:val="none"/>
        </w:rPr>
        <w:t>：对初步验收合格的项目进行现场核查，了解项目实际运行效果。</w:t>
      </w:r>
    </w:p>
    <w:p w14:paraId="69C89446">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
          <w:bCs/>
          <w:kern w:val="44"/>
          <w:sz w:val="32"/>
          <w:szCs w:val="32"/>
          <w:highlight w:val="none"/>
        </w:rPr>
        <w:t>4.综合评审</w:t>
      </w:r>
      <w:r>
        <w:rPr>
          <w:rFonts w:hint="eastAsia" w:ascii="Times New Roman" w:hAnsi="Times New Roman" w:eastAsia="仿宋_GB2312" w:cs="仿宋_GB2312"/>
          <w:bCs/>
          <w:kern w:val="44"/>
          <w:sz w:val="32"/>
          <w:szCs w:val="32"/>
          <w:highlight w:val="none"/>
        </w:rPr>
        <w:t>：结合初步验收、现场核查结果及专家评审意见，进行综合评审，形成验收结论。</w:t>
      </w:r>
    </w:p>
    <w:p w14:paraId="18D0C988">
      <w:pPr>
        <w:pageBreakBefore w:val="0"/>
        <w:widowControl w:val="0"/>
        <w:kinsoku/>
        <w:wordWrap/>
        <w:overflowPunct/>
        <w:topLinePunct w:val="0"/>
        <w:autoSpaceDE/>
        <w:autoSpaceDN/>
        <w:bidi w:val="0"/>
        <w:spacing w:line="600" w:lineRule="exact"/>
        <w:ind w:firstLine="643" w:firstLineChars="200"/>
        <w:textAlignment w:val="auto"/>
        <w:rPr>
          <w:rFonts w:hint="eastAsia" w:ascii="Times New Roman" w:hAnsi="Times New Roman" w:eastAsia="仿宋_GB2312" w:cs="仿宋_GB2312"/>
          <w:bCs/>
          <w:kern w:val="44"/>
          <w:sz w:val="32"/>
          <w:szCs w:val="32"/>
          <w:highlight w:val="none"/>
        </w:rPr>
      </w:pPr>
      <w:r>
        <w:rPr>
          <w:rFonts w:hint="eastAsia" w:ascii="Times New Roman" w:hAnsi="Times New Roman" w:eastAsia="仿宋_GB2312" w:cs="仿宋_GB2312"/>
          <w:b/>
          <w:kern w:val="44"/>
          <w:sz w:val="32"/>
          <w:szCs w:val="32"/>
          <w:highlight w:val="none"/>
        </w:rPr>
        <w:t>5.授牌</w:t>
      </w:r>
      <w:r>
        <w:rPr>
          <w:rFonts w:hint="eastAsia" w:ascii="Times New Roman" w:hAnsi="Times New Roman" w:eastAsia="仿宋_GB2312" w:cs="仿宋_GB2312"/>
          <w:b/>
          <w:kern w:val="44"/>
          <w:sz w:val="32"/>
          <w:szCs w:val="32"/>
          <w:highlight w:val="none"/>
          <w:lang w:eastAsia="zh-CN"/>
        </w:rPr>
        <w:t>设立</w:t>
      </w:r>
      <w:r>
        <w:rPr>
          <w:rFonts w:hint="eastAsia" w:ascii="Times New Roman" w:hAnsi="Times New Roman" w:eastAsia="仿宋_GB2312" w:cs="仿宋_GB2312"/>
          <w:bCs/>
          <w:kern w:val="44"/>
          <w:sz w:val="32"/>
          <w:szCs w:val="32"/>
          <w:highlight w:val="none"/>
        </w:rPr>
        <w:t>：对通过验收的</w:t>
      </w:r>
      <w:r>
        <w:rPr>
          <w:rFonts w:hint="eastAsia" w:ascii="Times New Roman" w:hAnsi="Times New Roman" w:eastAsia="仿宋_GB2312" w:cs="仿宋_GB2312"/>
          <w:bCs/>
          <w:kern w:val="44"/>
          <w:sz w:val="32"/>
          <w:szCs w:val="32"/>
          <w:highlight w:val="none"/>
          <w:lang w:eastAsia="zh-CN"/>
        </w:rPr>
        <w:t>院校</w:t>
      </w:r>
      <w:r>
        <w:rPr>
          <w:rFonts w:hint="eastAsia" w:ascii="Times New Roman" w:hAnsi="Times New Roman" w:eastAsia="仿宋_GB2312" w:cs="仿宋_GB2312"/>
          <w:bCs/>
          <w:kern w:val="44"/>
          <w:sz w:val="32"/>
          <w:szCs w:val="32"/>
          <w:highlight w:val="none"/>
        </w:rPr>
        <w:t>，由</w:t>
      </w:r>
      <w:r>
        <w:rPr>
          <w:rFonts w:hint="eastAsia" w:ascii="Times New Roman" w:hAnsi="Times New Roman" w:eastAsia="仿宋_GB2312" w:cs="仿宋_GB2312"/>
          <w:bCs/>
          <w:kern w:val="44"/>
          <w:sz w:val="32"/>
          <w:szCs w:val="32"/>
          <w:highlight w:val="none"/>
          <w:lang w:val="en-US" w:eastAsia="zh-CN"/>
        </w:rPr>
        <w:t>全国工商联人才中心</w:t>
      </w:r>
      <w:r>
        <w:rPr>
          <w:rFonts w:hint="eastAsia" w:ascii="Times New Roman" w:hAnsi="Times New Roman" w:eastAsia="仿宋_GB2312" w:cs="仿宋_GB2312"/>
          <w:bCs/>
          <w:kern w:val="44"/>
          <w:sz w:val="32"/>
          <w:szCs w:val="32"/>
          <w:highlight w:val="none"/>
        </w:rPr>
        <w:t>与</w:t>
      </w:r>
      <w:r>
        <w:rPr>
          <w:rFonts w:hint="eastAsia" w:ascii="Times New Roman" w:hAnsi="Times New Roman" w:eastAsia="仿宋_GB2312" w:cs="仿宋_GB2312"/>
          <w:bCs/>
          <w:kern w:val="44"/>
          <w:sz w:val="32"/>
          <w:szCs w:val="32"/>
          <w:highlight w:val="none"/>
          <w:lang w:eastAsia="zh-CN"/>
        </w:rPr>
        <w:t>用友网络</w:t>
      </w:r>
      <w:r>
        <w:rPr>
          <w:rFonts w:hint="eastAsia" w:ascii="Times New Roman" w:hAnsi="Times New Roman" w:eastAsia="仿宋_GB2312" w:cs="仿宋_GB2312"/>
          <w:bCs/>
          <w:kern w:val="44"/>
          <w:sz w:val="32"/>
          <w:szCs w:val="32"/>
          <w:highlight w:val="none"/>
        </w:rPr>
        <w:t>联合</w:t>
      </w:r>
      <w:r>
        <w:rPr>
          <w:rFonts w:hint="eastAsia" w:ascii="Times New Roman" w:hAnsi="Times New Roman" w:eastAsia="仿宋_GB2312" w:cs="仿宋_GB2312"/>
          <w:bCs/>
          <w:kern w:val="44"/>
          <w:sz w:val="32"/>
          <w:szCs w:val="32"/>
          <w:highlight w:val="none"/>
          <w:lang w:eastAsia="zh-CN"/>
        </w:rPr>
        <w:t>授予</w:t>
      </w:r>
      <w:r>
        <w:rPr>
          <w:rFonts w:hint="eastAsia" w:ascii="Times New Roman" w:hAnsi="Times New Roman" w:eastAsia="仿宋_GB2312" w:cs="仿宋_GB2312"/>
          <w:bCs/>
          <w:kern w:val="44"/>
          <w:sz w:val="32"/>
          <w:szCs w:val="32"/>
          <w:highlight w:val="none"/>
        </w:rPr>
        <w:t>“区域企业数智化产教融合实践中心”</w:t>
      </w:r>
      <w:r>
        <w:rPr>
          <w:rFonts w:hint="eastAsia" w:ascii="Times New Roman" w:hAnsi="Times New Roman" w:eastAsia="仿宋_GB2312" w:cs="仿宋_GB2312"/>
          <w:bCs/>
          <w:kern w:val="44"/>
          <w:sz w:val="32"/>
          <w:szCs w:val="32"/>
          <w:highlight w:val="none"/>
          <w:lang w:eastAsia="zh-CN"/>
        </w:rPr>
        <w:t>牌匾</w:t>
      </w:r>
      <w:r>
        <w:rPr>
          <w:rFonts w:hint="eastAsia" w:ascii="Times New Roman" w:hAnsi="Times New Roman" w:eastAsia="仿宋_GB2312" w:cs="仿宋_GB2312"/>
          <w:bCs/>
          <w:kern w:val="44"/>
          <w:sz w:val="32"/>
          <w:szCs w:val="32"/>
          <w:highlight w:val="none"/>
        </w:rPr>
        <w:t>。</w:t>
      </w:r>
    </w:p>
    <w:p w14:paraId="41EC6706">
      <w:pPr>
        <w:pStyle w:val="2"/>
        <w:keepNext w:val="0"/>
        <w:keepLines w:val="0"/>
        <w:pageBreakBefore w:val="0"/>
        <w:widowControl w:val="0"/>
        <w:kinsoku/>
        <w:wordWrap/>
        <w:overflowPunct/>
        <w:topLinePunct w:val="0"/>
        <w:autoSpaceDE/>
        <w:autoSpaceDN/>
        <w:bidi w:val="0"/>
        <w:adjustRightInd/>
        <w:snapToGrid/>
        <w:spacing w:before="0" w:line="600" w:lineRule="exact"/>
        <w:ind w:left="0" w:leftChars="0" w:firstLine="643" w:firstLineChars="200"/>
        <w:textAlignment w:val="auto"/>
        <w:rPr>
          <w:rFonts w:hint="default"/>
          <w:lang w:val="en-US"/>
        </w:rPr>
      </w:pPr>
      <w:r>
        <w:rPr>
          <w:rFonts w:hint="eastAsia" w:ascii="Times New Roman" w:hAnsi="Times New Roman" w:eastAsia="仿宋_GB2312" w:cs="仿宋_GB2312"/>
          <w:b/>
          <w:bCs w:val="0"/>
          <w:kern w:val="44"/>
          <w:sz w:val="32"/>
          <w:szCs w:val="32"/>
          <w:lang w:val="en-US" w:eastAsia="zh-CN" w:bidi="ar"/>
        </w:rPr>
        <w:t>6.</w:t>
      </w:r>
      <w:r>
        <w:rPr>
          <w:rFonts w:hint="eastAsia" w:ascii="仿宋_GB2312" w:hAnsi="Times New Roman" w:eastAsia="仿宋_GB2312" w:cs="仿宋_GB2312"/>
          <w:b/>
          <w:bCs w:val="0"/>
          <w:kern w:val="44"/>
          <w:sz w:val="32"/>
          <w:szCs w:val="32"/>
          <w:lang w:val="en-US" w:eastAsia="zh-CN" w:bidi="ar"/>
        </w:rPr>
        <w:t>持续运营：</w:t>
      </w:r>
      <w:r>
        <w:rPr>
          <w:rFonts w:hint="eastAsia" w:ascii="仿宋_GB2312" w:hAnsi="Times New Roman" w:eastAsia="仿宋_GB2312" w:cs="仿宋_GB2312"/>
          <w:bCs/>
          <w:kern w:val="44"/>
          <w:sz w:val="32"/>
          <w:szCs w:val="32"/>
          <w:lang w:val="en-US" w:eastAsia="zh-CN" w:bidi="ar"/>
        </w:rPr>
        <w:t>授牌后，实践中心进入运营期，充分发挥实践中心在人才培养、科学研究、技术创新、成果转化、企业服务、学生就业等方面的应有作用。</w:t>
      </w:r>
    </w:p>
    <w:p w14:paraId="4A5EDE61">
      <w:pPr>
        <w:keepNext w:val="0"/>
        <w:keepLines w:val="0"/>
        <w:widowControl w:val="0"/>
        <w:suppressLineNumbers w:val="0"/>
        <w:autoSpaceDE w:val="0"/>
        <w:autoSpaceDN/>
        <w:spacing w:before="0" w:beforeAutospacing="0" w:after="0" w:afterAutospacing="0" w:line="600" w:lineRule="exact"/>
        <w:ind w:left="0" w:right="0" w:firstLine="643" w:firstLineChars="200"/>
        <w:jc w:val="both"/>
        <w:rPr>
          <w:rFonts w:hint="eastAsia" w:ascii="Times New Roman" w:hAnsi="Times New Roman" w:eastAsia="仿宋_GB2312" w:cs="仿宋_GB2312"/>
          <w:bCs/>
          <w:kern w:val="44"/>
          <w:sz w:val="32"/>
          <w:szCs w:val="32"/>
        </w:rPr>
      </w:pPr>
      <w:r>
        <w:rPr>
          <w:rFonts w:hint="eastAsia" w:ascii="Times New Roman" w:hAnsi="Times New Roman" w:eastAsia="仿宋_GB2312" w:cs="Times New Roman"/>
          <w:b/>
          <w:bCs w:val="0"/>
          <w:kern w:val="44"/>
          <w:sz w:val="32"/>
          <w:szCs w:val="32"/>
          <w:lang w:val="en-US" w:eastAsia="zh-CN" w:bidi="ar"/>
        </w:rPr>
        <w:t>7</w:t>
      </w:r>
      <w:r>
        <w:rPr>
          <w:rFonts w:hint="default" w:ascii="Times New Roman" w:hAnsi="Times New Roman" w:eastAsia="仿宋_GB2312" w:cs="Times New Roman"/>
          <w:b/>
          <w:bCs w:val="0"/>
          <w:kern w:val="44"/>
          <w:sz w:val="32"/>
          <w:szCs w:val="32"/>
          <w:lang w:val="en-US" w:eastAsia="zh-CN" w:bidi="ar"/>
        </w:rPr>
        <w:t>.</w:t>
      </w:r>
      <w:r>
        <w:rPr>
          <w:rFonts w:hint="eastAsia" w:ascii="仿宋_GB2312" w:hAnsi="Times New Roman" w:eastAsia="仿宋_GB2312" w:cs="仿宋_GB2312"/>
          <w:b/>
          <w:bCs w:val="0"/>
          <w:kern w:val="44"/>
          <w:sz w:val="32"/>
          <w:szCs w:val="32"/>
          <w:lang w:val="en-US" w:eastAsia="zh-CN" w:bidi="ar"/>
        </w:rPr>
        <w:t>成果推广：</w:t>
      </w:r>
      <w:r>
        <w:rPr>
          <w:rFonts w:hint="eastAsia" w:ascii="仿宋_GB2312" w:hAnsi="Times New Roman" w:eastAsia="仿宋_GB2312" w:cs="仿宋_GB2312"/>
          <w:bCs/>
          <w:kern w:val="44"/>
          <w:sz w:val="32"/>
          <w:szCs w:val="32"/>
          <w:lang w:val="en-US" w:eastAsia="zh-CN" w:bidi="ar"/>
        </w:rPr>
        <w:t>对运营较好的实践中心，全国工商联人才中心与用友网络通过征集优秀案例、召开专题研讨会等形式，进行成果展示和典型案例推广。</w:t>
      </w:r>
    </w:p>
    <w:p w14:paraId="1B3BE367">
      <w:pPr>
        <w:pageBreakBefore w:val="0"/>
        <w:widowControl w:val="0"/>
        <w:kinsoku/>
        <w:wordWrap/>
        <w:overflowPunct/>
        <w:topLinePunct w:val="0"/>
        <w:autoSpaceDE/>
        <w:autoSpaceDN/>
        <w:bidi w:val="0"/>
        <w:spacing w:line="600" w:lineRule="exact"/>
        <w:ind w:firstLine="480" w:firstLineChars="200"/>
        <w:textAlignment w:val="auto"/>
        <w:rPr>
          <w:rFonts w:hint="eastAsia" w:ascii="Times New Roman" w:hAnsi="Times New Roman" w:eastAsia="仿宋_GB2312"/>
          <w:bCs/>
          <w:kern w:val="44"/>
          <w:sz w:val="24"/>
          <w:szCs w:val="24"/>
          <w:highlight w:val="none"/>
          <w14:ligatures w14:val="none"/>
        </w:rPr>
      </w:pPr>
    </w:p>
    <w:p w14:paraId="2D5F95B7">
      <w:pPr>
        <w:keepNext w:val="0"/>
        <w:keepLines w:val="0"/>
        <w:pageBreakBefore w:val="0"/>
        <w:widowControl w:val="0"/>
        <w:tabs>
          <w:tab w:val="left" w:pos="1724"/>
        </w:tabs>
        <w:kinsoku/>
        <w:wordWrap/>
        <w:overflowPunct/>
        <w:topLinePunct w:val="0"/>
        <w:autoSpaceDE/>
        <w:autoSpaceDN/>
        <w:bidi w:val="0"/>
        <w:adjustRightInd/>
        <w:snapToGrid/>
        <w:spacing w:line="600" w:lineRule="exact"/>
        <w:ind w:firstLine="480" w:firstLineChars="200"/>
        <w:textAlignment w:val="auto"/>
        <w:rPr>
          <w:rFonts w:hint="eastAsia" w:ascii="Times New Roman" w:hAnsi="Times New Roman" w:eastAsia="仿宋_GB2312" w:cs="宋体"/>
          <w:bCs/>
          <w:sz w:val="24"/>
          <w:szCs w:val="24"/>
          <w:highlight w:val="none"/>
          <w:lang w:val="en-US" w:eastAsia="zh-CN"/>
        </w:rPr>
      </w:pPr>
      <w:r>
        <w:rPr>
          <w:rFonts w:hint="eastAsia" w:ascii="Times New Roman" w:hAnsi="Times New Roman" w:eastAsia="仿宋_GB2312" w:cs="宋体"/>
          <w:bCs/>
          <w:sz w:val="24"/>
          <w:szCs w:val="24"/>
          <w:highlight w:val="none"/>
          <w:lang w:val="en-US" w:eastAsia="zh-CN"/>
        </w:rPr>
        <w:tab/>
      </w:r>
    </w:p>
    <w:sectPr>
      <w:footerReference r:id="rId3" w:type="default"/>
      <w:pgSz w:w="11906" w:h="16838"/>
      <w:pgMar w:top="2098" w:right="1474" w:bottom="1984" w:left="1587"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6BB3EC">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BBAFED">
                          <w:pPr>
                            <w:pStyle w:val="7"/>
                            <w:rPr>
                              <w:rFonts w:hint="default" w:ascii="Times New Roman" w:hAnsi="Times New Roman" w:cs="Times New Roman"/>
                              <w:sz w:val="28"/>
                              <w:szCs w:val="44"/>
                            </w:rPr>
                          </w:pPr>
                          <w:r>
                            <w:rPr>
                              <w:rFonts w:hint="default" w:ascii="Times New Roman" w:hAnsi="Times New Roman" w:cs="Times New Roman"/>
                              <w:sz w:val="28"/>
                              <w:szCs w:val="44"/>
                            </w:rPr>
                            <w:t xml:space="preserve">— </w:t>
                          </w:r>
                          <w:r>
                            <w:rPr>
                              <w:rFonts w:hint="default" w:ascii="Times New Roman" w:hAnsi="Times New Roman" w:cs="Times New Roman"/>
                              <w:sz w:val="28"/>
                              <w:szCs w:val="44"/>
                            </w:rPr>
                            <w:fldChar w:fldCharType="begin"/>
                          </w:r>
                          <w:r>
                            <w:rPr>
                              <w:rFonts w:hint="default" w:ascii="Times New Roman" w:hAnsi="Times New Roman" w:cs="Times New Roman"/>
                              <w:sz w:val="28"/>
                              <w:szCs w:val="44"/>
                            </w:rPr>
                            <w:instrText xml:space="preserve"> PAGE  \* MERGEFORMAT </w:instrText>
                          </w:r>
                          <w:r>
                            <w:rPr>
                              <w:rFonts w:hint="default" w:ascii="Times New Roman" w:hAnsi="Times New Roman" w:cs="Times New Roman"/>
                              <w:sz w:val="28"/>
                              <w:szCs w:val="44"/>
                            </w:rPr>
                            <w:fldChar w:fldCharType="separate"/>
                          </w:r>
                          <w:r>
                            <w:rPr>
                              <w:rFonts w:hint="default" w:ascii="Times New Roman" w:hAnsi="Times New Roman" w:cs="Times New Roman"/>
                              <w:sz w:val="28"/>
                              <w:szCs w:val="44"/>
                            </w:rPr>
                            <w:t>1</w:t>
                          </w:r>
                          <w:r>
                            <w:rPr>
                              <w:rFonts w:hint="default" w:ascii="Times New Roman" w:hAnsi="Times New Roman" w:cs="Times New Roman"/>
                              <w:sz w:val="28"/>
                              <w:szCs w:val="44"/>
                            </w:rPr>
                            <w:fldChar w:fldCharType="end"/>
                          </w:r>
                          <w:r>
                            <w:rPr>
                              <w:rFonts w:hint="default" w:ascii="Times New Roman" w:hAnsi="Times New Roman" w:cs="Times New Roman"/>
                              <w:sz w:val="28"/>
                              <w:szCs w:val="44"/>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FBBAFED">
                    <w:pPr>
                      <w:pStyle w:val="7"/>
                      <w:rPr>
                        <w:rFonts w:hint="default" w:ascii="Times New Roman" w:hAnsi="Times New Roman" w:cs="Times New Roman"/>
                        <w:sz w:val="28"/>
                        <w:szCs w:val="44"/>
                      </w:rPr>
                    </w:pPr>
                    <w:r>
                      <w:rPr>
                        <w:rFonts w:hint="default" w:ascii="Times New Roman" w:hAnsi="Times New Roman" w:cs="Times New Roman"/>
                        <w:sz w:val="28"/>
                        <w:szCs w:val="44"/>
                      </w:rPr>
                      <w:t xml:space="preserve">— </w:t>
                    </w:r>
                    <w:r>
                      <w:rPr>
                        <w:rFonts w:hint="default" w:ascii="Times New Roman" w:hAnsi="Times New Roman" w:cs="Times New Roman"/>
                        <w:sz w:val="28"/>
                        <w:szCs w:val="44"/>
                      </w:rPr>
                      <w:fldChar w:fldCharType="begin"/>
                    </w:r>
                    <w:r>
                      <w:rPr>
                        <w:rFonts w:hint="default" w:ascii="Times New Roman" w:hAnsi="Times New Roman" w:cs="Times New Roman"/>
                        <w:sz w:val="28"/>
                        <w:szCs w:val="44"/>
                      </w:rPr>
                      <w:instrText xml:space="preserve"> PAGE  \* MERGEFORMAT </w:instrText>
                    </w:r>
                    <w:r>
                      <w:rPr>
                        <w:rFonts w:hint="default" w:ascii="Times New Roman" w:hAnsi="Times New Roman" w:cs="Times New Roman"/>
                        <w:sz w:val="28"/>
                        <w:szCs w:val="44"/>
                      </w:rPr>
                      <w:fldChar w:fldCharType="separate"/>
                    </w:r>
                    <w:r>
                      <w:rPr>
                        <w:rFonts w:hint="default" w:ascii="Times New Roman" w:hAnsi="Times New Roman" w:cs="Times New Roman"/>
                        <w:sz w:val="28"/>
                        <w:szCs w:val="44"/>
                      </w:rPr>
                      <w:t>1</w:t>
                    </w:r>
                    <w:r>
                      <w:rPr>
                        <w:rFonts w:hint="default" w:ascii="Times New Roman" w:hAnsi="Times New Roman" w:cs="Times New Roman"/>
                        <w:sz w:val="28"/>
                        <w:szCs w:val="44"/>
                      </w:rPr>
                      <w:fldChar w:fldCharType="end"/>
                    </w:r>
                    <w:r>
                      <w:rPr>
                        <w:rFonts w:hint="default" w:ascii="Times New Roman" w:hAnsi="Times New Roman" w:cs="Times New Roman"/>
                        <w:sz w:val="28"/>
                        <w:szCs w:val="44"/>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JkY2Q0NjkxNGIwNWQ5ZWYxMWFkYjM1OThhZGU5ODMifQ=="/>
  </w:docVars>
  <w:rsids>
    <w:rsidRoot w:val="00000000"/>
    <w:rsid w:val="00A97848"/>
    <w:rsid w:val="013730A5"/>
    <w:rsid w:val="01BD35AB"/>
    <w:rsid w:val="01CE57B8"/>
    <w:rsid w:val="025C7268"/>
    <w:rsid w:val="02C50398"/>
    <w:rsid w:val="08204893"/>
    <w:rsid w:val="08253C58"/>
    <w:rsid w:val="08964B56"/>
    <w:rsid w:val="09420839"/>
    <w:rsid w:val="0A2166A1"/>
    <w:rsid w:val="0C012C2E"/>
    <w:rsid w:val="0C1A5107"/>
    <w:rsid w:val="0C1E733C"/>
    <w:rsid w:val="0C403756"/>
    <w:rsid w:val="0D390119"/>
    <w:rsid w:val="0E903DF5"/>
    <w:rsid w:val="10D31932"/>
    <w:rsid w:val="120B2110"/>
    <w:rsid w:val="12E666D9"/>
    <w:rsid w:val="13821BF2"/>
    <w:rsid w:val="146B30C4"/>
    <w:rsid w:val="154A2F50"/>
    <w:rsid w:val="183F2B14"/>
    <w:rsid w:val="185E0A88"/>
    <w:rsid w:val="186E717E"/>
    <w:rsid w:val="18B963C5"/>
    <w:rsid w:val="1913051A"/>
    <w:rsid w:val="1CBD1752"/>
    <w:rsid w:val="1D494437"/>
    <w:rsid w:val="1DBA142A"/>
    <w:rsid w:val="1DD106B2"/>
    <w:rsid w:val="1DFA67C8"/>
    <w:rsid w:val="1F6C1E79"/>
    <w:rsid w:val="21B71486"/>
    <w:rsid w:val="229323DA"/>
    <w:rsid w:val="27217BE0"/>
    <w:rsid w:val="2B7D3C27"/>
    <w:rsid w:val="2BB533C1"/>
    <w:rsid w:val="2BCA04EF"/>
    <w:rsid w:val="2C077995"/>
    <w:rsid w:val="2D687FBF"/>
    <w:rsid w:val="2DCE2518"/>
    <w:rsid w:val="318879DE"/>
    <w:rsid w:val="343706EB"/>
    <w:rsid w:val="34727975"/>
    <w:rsid w:val="349D2C44"/>
    <w:rsid w:val="36AF3103"/>
    <w:rsid w:val="393D67A4"/>
    <w:rsid w:val="397E5627"/>
    <w:rsid w:val="3A974745"/>
    <w:rsid w:val="3C814BF9"/>
    <w:rsid w:val="3CF74E3D"/>
    <w:rsid w:val="3D804EB1"/>
    <w:rsid w:val="3FB35BEC"/>
    <w:rsid w:val="41343BB7"/>
    <w:rsid w:val="41AD023F"/>
    <w:rsid w:val="42E859B0"/>
    <w:rsid w:val="43F86FE6"/>
    <w:rsid w:val="44EC107E"/>
    <w:rsid w:val="48C540C0"/>
    <w:rsid w:val="49380D36"/>
    <w:rsid w:val="4B1309F8"/>
    <w:rsid w:val="4BB616F3"/>
    <w:rsid w:val="4D123E5C"/>
    <w:rsid w:val="4EEB4F87"/>
    <w:rsid w:val="504F52E3"/>
    <w:rsid w:val="51C910B7"/>
    <w:rsid w:val="527E3C5D"/>
    <w:rsid w:val="54266031"/>
    <w:rsid w:val="54A92AE8"/>
    <w:rsid w:val="55212D9F"/>
    <w:rsid w:val="556F788D"/>
    <w:rsid w:val="55937A20"/>
    <w:rsid w:val="5813225A"/>
    <w:rsid w:val="58C16652"/>
    <w:rsid w:val="5A4B711C"/>
    <w:rsid w:val="5A5466E3"/>
    <w:rsid w:val="5A6279C1"/>
    <w:rsid w:val="5AEC372E"/>
    <w:rsid w:val="5C036F81"/>
    <w:rsid w:val="5C5B47CF"/>
    <w:rsid w:val="5F645F89"/>
    <w:rsid w:val="5F9E593F"/>
    <w:rsid w:val="60A96349"/>
    <w:rsid w:val="62792267"/>
    <w:rsid w:val="63612F0B"/>
    <w:rsid w:val="63AA3B18"/>
    <w:rsid w:val="64B654D9"/>
    <w:rsid w:val="65F07DFC"/>
    <w:rsid w:val="68CA50AF"/>
    <w:rsid w:val="69216C99"/>
    <w:rsid w:val="697D0373"/>
    <w:rsid w:val="6D3C6797"/>
    <w:rsid w:val="6E352F65"/>
    <w:rsid w:val="6F327E52"/>
    <w:rsid w:val="6FDE7692"/>
    <w:rsid w:val="6FE3114C"/>
    <w:rsid w:val="7161057A"/>
    <w:rsid w:val="718A7AD1"/>
    <w:rsid w:val="73546557"/>
    <w:rsid w:val="74312486"/>
    <w:rsid w:val="74E12700"/>
    <w:rsid w:val="769B008A"/>
    <w:rsid w:val="771C566F"/>
    <w:rsid w:val="790A14F7"/>
    <w:rsid w:val="7D1666BD"/>
    <w:rsid w:val="7D586F00"/>
    <w:rsid w:val="7E5C45A3"/>
    <w:rsid w:val="7F2F1CB8"/>
    <w:rsid w:val="7F873446"/>
    <w:rsid w:val="7F8952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5">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ind w:firstLine="800"/>
    </w:pPr>
    <w:rPr>
      <w:rFonts w:asciiTheme="minorHAnsi" w:hAnsiTheme="minorHAnsi"/>
    </w:rPr>
  </w:style>
  <w:style w:type="paragraph" w:styleId="6">
    <w:name w:val="Body Text Indent"/>
    <w:basedOn w:val="1"/>
    <w:next w:val="1"/>
    <w:qFormat/>
    <w:uiPriority w:val="0"/>
    <w:pPr>
      <w:ind w:firstLine="800"/>
    </w:pPr>
    <w:rPr>
      <w:rFonts w:asciiTheme="minorHAnsi" w:hAnsiTheme="minorHAnsi"/>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0">
    <w:name w:val="Body Text First Indent 2"/>
    <w:basedOn w:val="6"/>
    <w:next w:val="1"/>
    <w:qFormat/>
    <w:uiPriority w:val="0"/>
    <w:pPr>
      <w:ind w:firstLine="420"/>
    </w:pPr>
  </w:style>
  <w:style w:type="character" w:styleId="13">
    <w:name w:val="Hyperlink"/>
    <w:basedOn w:val="12"/>
    <w:qFormat/>
    <w:uiPriority w:val="0"/>
    <w:rPr>
      <w:color w:val="0000FF"/>
      <w:u w:val="single"/>
    </w:rPr>
  </w:style>
  <w:style w:type="paragraph" w:styleId="14">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3723</Words>
  <Characters>3740</Characters>
  <Lines>0</Lines>
  <Paragraphs>0</Paragraphs>
  <TotalTime>7</TotalTime>
  <ScaleCrop>false</ScaleCrop>
  <LinksUpToDate>false</LinksUpToDate>
  <CharactersWithSpaces>3746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2024-09-09T08:08:00Z</dcterms:created>
  <dc:creator>15091</dc:creator>
  <cp:lastModifiedBy>全联人才在线</cp:lastModifiedBy>
  <cp:lastPrinted>2024-09-13T03:49:00Z</cp:lastPrinted>
  <dcterms:modified xsi:type="dcterms:W3CDTF">2024-09-26T03:31:07Z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179BD282765440EBBD29D98418124992_12</vt:lpwstr>
  </property>
</Properties>
</file>